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6f8186c804116" /></Relationships>
</file>

<file path=word/document.xml><?xml version="1.0" encoding="utf-8"?>
<w:document xmlns:r="http://schemas.openxmlformats.org/officeDocument/2006/relationships" xmlns:w="http://schemas.openxmlformats.org/wordprocessingml/2006/main">
  <w:body>
    <w:p>
      <w:pPr>
        <w:pStyle w:val="Title"/>
      </w:pPr>
      <w:r>
        <w:t>AIHW Health Labour Force Surveys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Health Labour Force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Force Surveys collect information on the demographic and employment characteristics of employees in the professions of medicine, nursing, dentistry, pharmacy, physiotherapy and podiatry. The survey questionnaire is administered to those persons who were registered or enrolled in each profession Australia at the time of the survey.</w:t>
            </w:r>
          </w:p>
          <w:p>
            <w:pPr>
              <w:spacing w:after="160"/>
            </w:pPr>
            <w:r>
              <w:rPr>
                <w:rStyle w:val="row-content-rich-text"/>
              </w:rPr>
              <w:t xml:space="preserve">The medical, nursing and midwifery, and dental labour force surveys are conducted annually, with the questionnaire administered in most jurisdictions by the relevant registration boards, in conjunction with the registration renewal process. Pharmacy, physiotherapy and podiatry labour force surveys are conducted irregularly.</w:t>
            </w:r>
          </w:p>
          <w:p>
            <w:pPr/>
            <w:r>
              <w:rPr>
                <w:rStyle w:val="row-content-rich-text"/>
              </w:rPr>
              <w:t xml:space="preserve">The latest information relating to each of the professions included in the AIHW Health Force Surveys is available from the AIHW Publications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68ac8e378984f86">
              <w:r>
                <w:rPr>
                  <w:rStyle w:val="Hyperlink"/>
                </w:rPr>
                <w:t xml:space="preserve">http://www.aihw.gov.au/publications/index.cfm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5695a0f258c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7c90f7ac7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95a0f258c4e10" /><Relationship Type="http://schemas.openxmlformats.org/officeDocument/2006/relationships/header" Target="/word/header1.xml" Id="R51064a5ae06d4c61" /><Relationship Type="http://schemas.openxmlformats.org/officeDocument/2006/relationships/settings" Target="/word/settings.xml" Id="R3d474dc53877439f" /><Relationship Type="http://schemas.openxmlformats.org/officeDocument/2006/relationships/styles" Target="/word/styles.xml" Id="R3cef68b131fe409e" /><Relationship Type="http://schemas.openxmlformats.org/officeDocument/2006/relationships/hyperlink" Target="http://www.aihw.gov.au/publications/index.cfm" TargetMode="External" Id="R568ac8e378984f86" /></Relationships>
</file>

<file path=word/_rels/header1.xml.rels>&#65279;<?xml version="1.0" encoding="utf-8"?><Relationships xmlns="http://schemas.openxmlformats.org/package/2006/relationships"><Relationship Type="http://schemas.openxmlformats.org/officeDocument/2006/relationships/image" Target="/media/image.png" Id="Rdb37c90f7ac740ad" /></Relationships>
</file>