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6718fd447497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P21a-Employment to population ratio, for the working age population (15-64 years) (Census Data),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P21a-Employment to population ratio, for the working age population (15-64 years)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a9afe3faa4631">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5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and information is available on the ABS website, including the Census Dictionary, data quality statements and Census fact sheets. See Census Reference and Information for more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the labour force status of all persons aged 15 years and over and identifies whether they are employed working full time, part time or away from work, unemployed looking for full time or part time work, or not in the labour force. Labour force status refers to the week prior to the Census.</w:t>
            </w:r>
          </w:p>
          <w:p>
            <w:pPr/>
            <w:r>
              <w:rPr>
                <w:rStyle w:val="row-content-rich-text"/>
              </w:rPr>
              <w:t xml:space="preserve">The Indigenous labour force participation and employment figures from the 2006 Census consider people participating in the Community Development Employment Projects (CDEP) scheme as employed. The CDEP scheme enables members of Indigenous communities to exchange unemployment benefits for opportunities to undertake paid work and training in activities managed by a local Indigenous community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 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are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Australia 11.5</w:t>
            </w:r>
          </w:p>
          <w:p>
            <w:pPr>
              <w:spacing w:after="160"/>
            </w:pPr>
            <w:r>
              <w:rPr>
                <w:rStyle w:val="row-content-rich-text"/>
              </w:rPr>
              <w:t xml:space="preserve">Source: ABS 2008 (Cat no. 3238.0.55.001).</w:t>
            </w:r>
          </w:p>
          <w:p>
            <w:pPr/>
            <w:r>
              <w:rPr>
                <w:rStyle w:val="row-content-rich-text"/>
              </w:rPr>
              <w:t xml:space="preserve">Quality statements for Labour Force and Indigenous Census data are available, see particularly: Labour Force Status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that data for any given Census is comparable with previous Censuses and also with other data produced by the ABS and wider community. In the Census and other household surveys, the ABS uses Australian standard classifications where appropriate to provide data that are comparable across statistical collections. These include standards for labour force status, and geographic areas, for example. For more details see About Census Classifications. Coherence between the Labour Force Survey and Census is available in Labour Force Status.</w:t>
            </w:r>
          </w:p>
          <w:p>
            <w:pPr/>
            <w:r>
              <w:rPr>
                <w:rStyle w:val="row-content-rich-text"/>
              </w:rPr>
              <w:t xml:space="preserve">Labour force estimates by Indigenous status from the Census have some methodological and definitional differences from other sources such as the Labour Force Survey. These differences may affect the comparability of data from different collections. Explanatory notes in Labour Force Characteristics of Aboriginal and Torres Strait Islander Australians, Estimates from the Labour Force Survey, 2007, outline differences among Census, Labour Force Survey and other survey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f07f6c03a74d59">
              <w:r>
                <w:rPr>
                  <w:rStyle w:val="Hyperlink"/>
                </w:rPr>
                <w:t xml:space="preserve">National Indigenous Reform Agreement: PI 14a-Level of workforce participation (Census data), 2013 QS</w:t>
              </w:r>
            </w:hyperlink>
          </w:p>
          <w:p>
            <w:pPr>
              <w:pStyle w:val="registration-status"/>
              <w:spacing w:before="0" w:after="0"/>
            </w:pPr>
            <w:hyperlink w:history="true" r:id="R24477eda4a91491e">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9fa00a46ecd4056">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0a02f04e69a4448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5bc3d791087e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a74e0b194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3d791087e4cc3" /><Relationship Type="http://schemas.openxmlformats.org/officeDocument/2006/relationships/header" Target="/word/header1.xml" Id="Re942f0b5e4044e38" /><Relationship Type="http://schemas.openxmlformats.org/officeDocument/2006/relationships/settings" Target="/word/settings.xml" Id="R7d94f471f896466c" /><Relationship Type="http://schemas.openxmlformats.org/officeDocument/2006/relationships/styles" Target="/word/styles.xml" Id="R601ce2bfaf1b48a0" /><Relationship Type="http://schemas.openxmlformats.org/officeDocument/2006/relationships/hyperlink" Target="https://meteor-uat.aihw.gov.au/RegistrationAuthority/3" TargetMode="External" Id="R34ba9afe3faa4631" /><Relationship Type="http://schemas.openxmlformats.org/officeDocument/2006/relationships/hyperlink" Target="https://meteor-uat.aihw.gov.au/content/523425" TargetMode="External" Id="R9af07f6c03a74d59" /><Relationship Type="http://schemas.openxmlformats.org/officeDocument/2006/relationships/hyperlink" Target="https://meteor-uat.aihw.gov.au/RegistrationAuthority/9" TargetMode="External" Id="R24477eda4a91491e" /><Relationship Type="http://schemas.openxmlformats.org/officeDocument/2006/relationships/hyperlink" Target="https://meteor-uat.aihw.gov.au/content/396621" TargetMode="External" Id="Re9fa00a46ecd4056" /><Relationship Type="http://schemas.openxmlformats.org/officeDocument/2006/relationships/hyperlink" Target="https://meteor-uat.aihw.gov.au/RegistrationAuthority/3" TargetMode="External" Id="R0a02f04e69a4448b" /></Relationships>
</file>

<file path=word/_rels/header1.xml.rels>&#65279;<?xml version="1.0" encoding="utf-8"?><Relationships xmlns="http://schemas.openxmlformats.org/package/2006/relationships"><Relationship Type="http://schemas.openxmlformats.org/officeDocument/2006/relationships/image" Target="/media/image.png" Id="Rff6a74e0b1944bd6" /></Relationships>
</file>