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8f71d592334e6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P09b-Child under 5 mortality rate (and excess deaths) (ABS Data), 2010 QS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P09b-Child under 5 mortality rate (and excess deaths) (ABS Data), 2010 QS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4bda22adb34142">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the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Perinatal Deaths data are published on an annual basis.</w:t>
            </w:r>
          </w:p>
          <w:p>
            <w:pPr>
              <w:spacing w:after="160"/>
            </w:pPr>
            <w:r>
              <w:rPr>
                <w:rStyle w:val="row-content-rich-text"/>
              </w:rPr>
              <w:t xml:space="preserve">Death records, including perinatal deaths,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due to missing information on the form, or resource limitations).</w:t>
            </w:r>
          </w:p>
          <w:p>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ERP data is not changed once it has been finalised. Releasing preliminary, revised and final ERP involves a balance between timeliness and accuracy.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Perinatal Deaths data are available on the ABS website under the 3304.0 product number.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have been age-standardised, using the indirect method, to account for differences between the age structures of the Indigenous and non-Indigenous populations. Indirect age-standardisation to the 2001 total Australian population was used. Age-standardised results provide a measure of relative difference only between populations. The ABS cautions against use of crude rates for making comparisons between Indigenous and non-Indigenous populations, as results may be misleading.</w:t>
            </w:r>
          </w:p>
          <w:p>
            <w:pPr>
              <w:spacing w:after="160"/>
            </w:pPr>
            <w:r>
              <w:rPr>
                <w:rStyle w:val="row-content-rich-text"/>
              </w:rPr>
              <w:t xml:space="preserve">Data are reported by jurisdiction of residence for NSW, Queensland, WA, SA and the the NT only. These five states and territories are considered to have adequate levels of Indigenous identification in mortality data. Data are presented in five-year groupings due to volatility of the small numbers involved.</w:t>
            </w:r>
          </w:p>
          <w:p>
            <w:pPr/>
            <w:r>
              <w:rPr>
                <w:rStyle w:val="row-content-rich-text"/>
              </w:rPr>
              <w:t xml:space="preserve">Information on how to interpret and use the data appropriately is available from Explanatory Notes in </w:t>
            </w:r>
            <w:r>
              <w:rPr>
                <w:rStyle w:val="row-content-rich-text"/>
                <w:i/>
              </w:rPr>
              <w:t xml:space="preserve">Causes of Death, Australia</w:t>
            </w:r>
            <w:r>
              <w:rPr>
                <w:rStyle w:val="row-content-rich-text"/>
              </w:rPr>
              <w:t xml:space="preserve"> (3303.0).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and Perinatal Deaths collections include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r>
              <w:rPr>
                <w:rStyle w:val="row-content-rich-text"/>
              </w:rPr>
              <w:t xml:space="preserve">Data in the Causes of Death and Perinatal Deaths collections include demographic items, as well as Causes of Death information, which is coded according to the International Classification of Diseases (ICD). ICD is the international standard classification for epidemiological purposes and is designed to promote international comparability in the collection, processing, classification, and presentation of cause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since 1997.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and Perinatal Deaths is obtained from a complete enumeration of deaths registered during a specified period and is not subject to sampling error. However, deaths data sources are subject to non-sampling error which can arise from inaccuracies in collecting, recording and processing the data. 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no.3101.0).</w:t>
            </w:r>
          </w:p>
          <w:p>
            <w:pPr>
              <w:spacing w:after="160"/>
            </w:pPr>
            <w:r>
              <w:rPr>
                <w:rStyle w:val="row-content-rich-text"/>
              </w:rPr>
              <w:t xml:space="preserve">Causes of Death and Perinatal Deaths data for 2007 are subject to revision. All coroner certified deaths registered after 1 January 2007 will be subject to a revision process. This is a change from previous years where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will enable the use of additional information relating to coroner certified deaths as it becomes available over time. This will result in increased specificity of the assigned ICD-10 codes. Causes of death data for 2007 coroner certified deaths will be updated as more information becomes available to the ABS. Revisions will only impact on coroner certified deaths, as further information becomes available to the ABS about the causes of these deaths. See </w:t>
            </w:r>
            <w:r>
              <w:rPr>
                <w:rStyle w:val="row-content-rich-text"/>
                <w:i/>
              </w:rPr>
              <w:t xml:space="preserve">Causes of Death, 2007</w:t>
            </w:r>
            <w:r>
              <w:rPr>
                <w:rStyle w:val="row-content-rich-text"/>
              </w:rPr>
              <w:t xml:space="preserve"> (3303.0). Non-Indigenous estimates are available for census years only. In the intervening years, Indigenous population figures are derived from assumptions about past and future levels of fertility, mortality and migration. In the absence of non-Indigenous population figures for these years, it is possible to derive denominators for calculating non-Indigenous rates by subtracting the Indigenous population from the total population. Such figures have a degree of uncertainty and should be used with caution, particularly as the time from the base year of the projection series increases.</w:t>
            </w:r>
          </w:p>
          <w:p>
            <w:pPr/>
            <w:r>
              <w:rPr>
                <w:rStyle w:val="row-content-rich-text"/>
              </w:rPr>
              <w:t xml:space="preserve">Some rates are unreliable due to small numbers of deaths over the reference period. Resultant rates could be misleading for example wherethe non-Indigenous mortality rate is higher than the Indigenous mortality rate for some causes. All rates in this indicator must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ef72ad4f2714ef4">
              <w:r>
                <w:rPr>
                  <w:rStyle w:val="Hyperlink"/>
                </w:rPr>
                <w:t xml:space="preserve">National Indigenous Reform Agreement: P09b-Child under 5 mortality rate (and excess deaths) (ABS Data), 2010</w:t>
              </w:r>
            </w:hyperlink>
          </w:p>
          <w:p>
            <w:pPr>
              <w:pStyle w:val="registration-status"/>
              <w:spacing w:before="0" w:after="0"/>
            </w:pPr>
            <w:hyperlink w:history="true" r:id="R0511b69edac64a7c">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003b3f7ded9d4e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396244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1110af1d8142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3b3f7ded9d4ece" /><Relationship Type="http://schemas.openxmlformats.org/officeDocument/2006/relationships/header" Target="/word/header1.xml" Id="R89f65d75ac3f4ddb" /><Relationship Type="http://schemas.openxmlformats.org/officeDocument/2006/relationships/settings" Target="/word/settings.xml" Id="R4ff10e551b414cb7" /><Relationship Type="http://schemas.openxmlformats.org/officeDocument/2006/relationships/styles" Target="/word/styles.xml" Id="R8940c615df4642da" /><Relationship Type="http://schemas.openxmlformats.org/officeDocument/2006/relationships/hyperlink" Target="https://meteor-uat.aihw.gov.au/RegistrationAuthority/3" TargetMode="External" Id="R7c4bda22adb34142" /><Relationship Type="http://schemas.openxmlformats.org/officeDocument/2006/relationships/hyperlink" Target="https://meteor-uat.aihw.gov.au/content/396458" TargetMode="External" Id="Reef72ad4f2714ef4" /><Relationship Type="http://schemas.openxmlformats.org/officeDocument/2006/relationships/hyperlink" Target="https://meteor-uat.aihw.gov.au/RegistrationAuthority/3" TargetMode="External" Id="R0511b69edac64a7c" /></Relationships>
</file>

<file path=word/_rels/header1.xml.rels>&#65279;<?xml version="1.0" encoding="utf-8"?><Relationships xmlns="http://schemas.openxmlformats.org/package/2006/relationships"><Relationship Type="http://schemas.openxmlformats.org/officeDocument/2006/relationships/image" Target="/media/image.png" Id="R621110af1d814218" /></Relationships>
</file>