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10b53cb12411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P06-Levels of obesity - Body Mass Index, 2010 QS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P06-Levels of obesity - Body Mass Index, 2010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d8b15989840e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and </w:t>
            </w:r>
            <w:r>
              <w:rPr>
                <w:rStyle w:val="row-content-rich-text"/>
                <w:i/>
              </w:rPr>
              <w:t xml:space="preserve">National Health Survey: Summary of Results, 2004-05</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(4363.0.55.002), </w:t>
            </w:r>
            <w:r>
              <w:rPr>
                <w:rStyle w:val="row-content-rich-text"/>
                <w:i/>
              </w:rPr>
              <w:t xml:space="preserve">2004-05 NATSIHS User’s Guide</w:t>
            </w:r>
            <w:r>
              <w:rPr>
                <w:rStyle w:val="row-content-rich-text"/>
              </w:rPr>
              <w:t xml:space="preserve"> (4715.0.55.004) and </w:t>
            </w:r>
            <w:r>
              <w:rPr>
                <w:rStyle w:val="row-content-rich-text"/>
                <w:i/>
              </w:rPr>
              <w:t xml:space="preserve">2004–05 NHS User’s Guide</w:t>
            </w:r>
            <w:r>
              <w:rPr>
                <w:rStyle w:val="row-content-rich-text"/>
              </w:rPr>
              <w:t xml:space="preserve">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spacing w:after="160"/>
            </w:pPr>
            <w:r>
              <w:rPr>
                <w:rStyle w:val="row-content-rich-text"/>
              </w:rPr>
              <w:t xml:space="preserve">The NATSIHS and the NHS are national surveys that collect information on health status, risk factors and health-related actions.</w:t>
            </w:r>
          </w:p>
          <w:p>
            <w:pPr/>
            <w:r>
              <w:rPr>
                <w:rStyle w:val="row-content-rich-text"/>
              </w:rPr>
              <w:t xml:space="preserve">Body Mass Index (BMI) is calculated in these surveys from height and weight information ‘as reported’ by respondents and hence may differ from BMI based on measured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remoteand non-remote areas. The 2004-05 sample was 10,000 persons/5200 households, with a response rate of 81 per cent of households. 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except for non-Indigenous estimates for the Northern Territory (29 per cent) which should be used with caution.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2.26).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83618ebff044de">
              <w:r>
                <w:rPr>
                  <w:rStyle w:val="Hyperlink"/>
                </w:rPr>
                <w:t xml:space="preserve">National Indigenous Reform Agreement: PI 05-Prevalence of overweight and obesity, 2013 QS</w:t>
              </w:r>
            </w:hyperlink>
          </w:p>
          <w:p>
            <w:pPr>
              <w:pStyle w:val="registration-status"/>
              <w:spacing w:before="0" w:after="0"/>
            </w:pPr>
            <w:hyperlink w:history="true" r:id="Rcf4d58384a59414c">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952c2ebd22e4704">
              <w:r>
                <w:rPr>
                  <w:rStyle w:val="Hyperlink"/>
                </w:rPr>
                <w:t xml:space="preserve">National Indigenous Reform Agreement: P06-Levels of obesity - Body Mass Index, 2010</w:t>
              </w:r>
            </w:hyperlink>
          </w:p>
          <w:p>
            <w:pPr>
              <w:pStyle w:val="registration-status"/>
              <w:spacing w:before="0" w:after="0"/>
            </w:pPr>
            <w:hyperlink w:history="true" r:id="Reeaccae61b0a41c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7a2275f1e84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5c278af8e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2275f1e8449d9" /><Relationship Type="http://schemas.openxmlformats.org/officeDocument/2006/relationships/header" Target="/word/header1.xml" Id="Rd8b547918085485a" /><Relationship Type="http://schemas.openxmlformats.org/officeDocument/2006/relationships/settings" Target="/word/settings.xml" Id="R5cf950ac706844b0" /><Relationship Type="http://schemas.openxmlformats.org/officeDocument/2006/relationships/styles" Target="/word/styles.xml" Id="Refddb59e00f44b87" /><Relationship Type="http://schemas.openxmlformats.org/officeDocument/2006/relationships/hyperlink" Target="https://meteor-uat.aihw.gov.au/RegistrationAuthority/3" TargetMode="External" Id="R920d8b15989840e5" /><Relationship Type="http://schemas.openxmlformats.org/officeDocument/2006/relationships/hyperlink" Target="https://meteor-uat.aihw.gov.au/content/523096" TargetMode="External" Id="Rd883618ebff044de" /><Relationship Type="http://schemas.openxmlformats.org/officeDocument/2006/relationships/hyperlink" Target="https://meteor-uat.aihw.gov.au/RegistrationAuthority/9" TargetMode="External" Id="Rcf4d58384a59414c" /><Relationship Type="http://schemas.openxmlformats.org/officeDocument/2006/relationships/hyperlink" Target="https://meteor-uat.aihw.gov.au/content/396448" TargetMode="External" Id="R7952c2ebd22e4704" /><Relationship Type="http://schemas.openxmlformats.org/officeDocument/2006/relationships/hyperlink" Target="https://meteor-uat.aihw.gov.au/RegistrationAuthority/3" TargetMode="External" Id="Reeaccae61b0a41c9" /></Relationships>
</file>

<file path=word/_rels/header1.xml.rels>&#65279;<?xml version="1.0" encoding="utf-8"?><Relationships xmlns="http://schemas.openxmlformats.org/package/2006/relationships"><Relationship Type="http://schemas.openxmlformats.org/officeDocument/2006/relationships/image" Target="/media/image.png" Id="R9165c278af8e4d42" /></Relationships>
</file>