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6ae58868f04ded" /></Relationships>
</file>

<file path=word/document.xml><?xml version="1.0" encoding="utf-8"?>
<w:document xmlns:r="http://schemas.openxmlformats.org/officeDocument/2006/relationships" xmlns:w="http://schemas.openxmlformats.org/wordprocessingml/2006/main">
  <w:body>
    <w:p>
      <w:pPr>
        <w:pStyle w:val="Title"/>
      </w:pPr>
      <w:r>
        <w:t>Prison entrants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30c09975a456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DSS describes data about all persons aged 18 years and over entering prison system during the National Prisoner Health Census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The Prison entrants DSS describes data about people entering the prison system during the National Prisoner Health Census reporting period. This includes demographic data and data about a prison entrant’s mental health, chronic disease status, their use of alcohol and other drugs, their use of health services and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prison entrant is collected by a health professional at the prison reception health assessment (alternatively known as the intake or induction assessment) using the Prison Entrants form.</w:t>
            </w:r>
          </w:p>
          <w:p>
            <w:pPr/>
            <w:r>
              <w:rPr>
                <w:rStyle w:val="row-content-rich-text"/>
              </w:rPr>
              <w:t xml:space="preserve">One Prison Entrants form should be completed for each person who enters the prison system during the National Prisoner Health Census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2009. From corrections to community: a set of indicators of the health of Australia's prisoners. Bulletin no. 75. Cat. no. AUS 120. Canberra: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b56467456c4667">
              <w:r>
                <w:rPr>
                  <w:rStyle w:val="Hyperlink"/>
                </w:rPr>
                <w:t xml:space="preserve">Prison entrants NBEDS</w:t>
              </w:r>
            </w:hyperlink>
          </w:p>
          <w:p>
            <w:pPr>
              <w:pStyle w:val="registration-status"/>
              <w:spacing w:before="0" w:after="0"/>
            </w:pPr>
            <w:hyperlink w:history="true" r:id="R8e4107b122444b5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7cc633b3c4e2d">
              <w:r>
                <w:rPr>
                  <w:rStyle w:val="Hyperlink"/>
                </w:rPr>
                <w:t xml:space="preserve">Prisoner health DSS</w:t>
              </w:r>
            </w:hyperlink>
          </w:p>
          <w:p>
            <w:pPr>
              <w:pStyle w:val="registration-status"/>
              <w:spacing w:before="0" w:after="0"/>
            </w:pPr>
            <w:hyperlink w:history="true" r:id="Rd911089655994101">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7cce56446146b2">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d1149d067c74ef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fa98372753d40a0">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4224f1bbb38430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5fdc038cf44829">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c6636904d54301">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80de686eab44ec">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be01ae6f5645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9c6f17f5fc1435e">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f2ddef7e99242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17706ebd2de48be">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51d90db6ef94fe1">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5e4e9e6c5549f9">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f3152c240c4e8a">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22746038abe411a">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bd44dcaa46f4f93">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cb24ef03dd344f6">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05f6edbfd5d444d3">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c1ce770122457f">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355d16c66a4f30">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b0a6cfaf3b14a23">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3d783cac82c4b3d">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4602379070e44ae">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81cb9b87eb842ac">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401cbf7e5154baa">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965f4b687314c11">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23a97ed31cf14fb5">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48730da197a4710">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2"/>
                    </w:numPr>
                  </w:pPr>
                  <w:r>
                    <w:t xml:space="preserve">Proportion of prison entrants who report that they have been told by a doctor or nurse that they have arthritis, and who still have the condition currently;</w:t>
                  </w:r>
                </w:p>
                <w:p>
                  <w:pPr>
                    <w:pStyle w:val="ListParagraph"/>
                    <w:numPr>
                      <w:ilvl w:val="0"/>
                      <w:numId w:val="2"/>
                    </w:numPr>
                  </w:pPr>
                  <w:r>
                    <w:t xml:space="preserve">Proportion of prison entrants who report that they have been told by a doctor or nurse that they have asthma, and who still have the condition currently;</w:t>
                  </w:r>
                </w:p>
                <w:p>
                  <w:pPr>
                    <w:pStyle w:val="ListParagraph"/>
                    <w:numPr>
                      <w:ilvl w:val="0"/>
                      <w:numId w:val="2"/>
                    </w:numPr>
                  </w:pPr>
                  <w:r>
                    <w:t xml:space="preserve">Proportion of prison entrants who report that they have been told by a doctor or nurse that they have cancer, and who still have the condition currently;</w:t>
                  </w:r>
                </w:p>
                <w:p>
                  <w:pPr>
                    <w:pStyle w:val="ListParagraph"/>
                    <w:numPr>
                      <w:ilvl w:val="0"/>
                      <w:numId w:val="2"/>
                    </w:numPr>
                  </w:pPr>
                  <w:r>
                    <w:t xml:space="preserve">Proportion of prison entrants who report that they have been told by a doctor or nurse that they have cardiovascular disease, and who still have the condition currently; and</w:t>
                  </w:r>
                </w:p>
                <w:p>
                  <w:pPr>
                    <w:pStyle w:val="ListParagraph"/>
                    <w:numPr>
                      <w:ilvl w:val="0"/>
                      <w:numId w:val="2"/>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a2c5b4fd31f84577">
                    <w:r>
                      <w:rPr>
                        <w:rStyle w:val="Hyperlink"/>
                      </w:rPr>
                      <w:t xml:space="preserve">Person—type of chronic condition, code N</w:t>
                    </w:r>
                  </w:hyperlink>
                  <w:r>
                    <w:t xml:space="preserve"> and </w:t>
                  </w:r>
                  <w:hyperlink w:history="true" r:id="R259c37e4a4dd4aa8">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b477751db7c464f">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590ca07fa744497">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6b970844b2e4f1c">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b308c042f04693">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06b894d12246b6">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c02f3e6e890480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824d09780d1458d">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01bce02c424689">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23e11665caa47ae">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320c8f9d94481e">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4e3386b8b7f41e6">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38748aafd514976">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6150e201e389406a">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b11f8440beb14b93">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befd78b8df8544e8">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ed8062760c54b77">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40de7a6c8a4d15">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b00266e34f4160">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0dd0ae6eaab4de7">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4fff28de9e94ccc">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67391a8ed04cb2">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7dacff35fc434a">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d920005d94d54967">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82ead2eacd44980">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28413a10cd44331">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5525af0e8649b6">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fcde29deb244cdc">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fa1d6b39e46463a">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5f9072f49ed4d5d">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5fd1f3ce4e43fa">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867b4159ad47a9">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05dccbb0b1044985">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4425ab41be5a4824">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94d57740adf4297">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e569ea812454dec">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fb2b36b2b5464a53">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7cb8413ee26043e4">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6bb4af6216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395955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7350fc1fc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6bb4af62164473" /><Relationship Type="http://schemas.openxmlformats.org/officeDocument/2006/relationships/header" Target="/word/header1.xml" Id="R9085e47c394c42cd" /><Relationship Type="http://schemas.openxmlformats.org/officeDocument/2006/relationships/settings" Target="/word/settings.xml" Id="Rea24d4bd3ebf4d67" /><Relationship Type="http://schemas.openxmlformats.org/officeDocument/2006/relationships/styles" Target="/word/styles.xml" Id="R53dceffeb8944c4f" /><Relationship Type="http://schemas.openxmlformats.org/officeDocument/2006/relationships/numbering" Target="/word/numbering.xml" Id="Re2e8851536c5496a" /><Relationship Type="http://schemas.openxmlformats.org/officeDocument/2006/relationships/hyperlink" Target="https://meteor-uat.aihw.gov.au/RegistrationAuthority/14" TargetMode="External" Id="Rb8f30c09975a4566" /><Relationship Type="http://schemas.openxmlformats.org/officeDocument/2006/relationships/hyperlink" Target="https://meteor-uat.aihw.gov.au/content/482353" TargetMode="External" Id="R9cb56467456c4667" /><Relationship Type="http://schemas.openxmlformats.org/officeDocument/2006/relationships/hyperlink" Target="https://meteor-uat.aihw.gov.au/RegistrationAuthority/14" TargetMode="External" Id="R8e4107b122444b57" /><Relationship Type="http://schemas.openxmlformats.org/officeDocument/2006/relationships/hyperlink" Target="https://meteor-uat.aihw.gov.au/content/375978" TargetMode="External" Id="R2317cc633b3c4e2d" /><Relationship Type="http://schemas.openxmlformats.org/officeDocument/2006/relationships/hyperlink" Target="https://meteor-uat.aihw.gov.au/RegistrationAuthority/14" TargetMode="External" Id="Rd911089655994101" /><Relationship Type="http://schemas.openxmlformats.org/officeDocument/2006/relationships/hyperlink" Target="https://meteor-uat.aihw.gov.au/content/365725" TargetMode="External" Id="Rd67cce56446146b2" /><Relationship Type="http://schemas.openxmlformats.org/officeDocument/2006/relationships/hyperlink" Target="https://meteor-uat.aihw.gov.au/content/269941" TargetMode="External" Id="R1d1149d067c74eff" /><Relationship Type="http://schemas.openxmlformats.org/officeDocument/2006/relationships/hyperlink" Target="https://meteor-uat.aihw.gov.au/content/290046" TargetMode="External" Id="Refa98372753d40a0" /><Relationship Type="http://schemas.openxmlformats.org/officeDocument/2006/relationships/hyperlink" Target="https://meteor-uat.aihw.gov.au/content/287007" TargetMode="External" Id="R04224f1bbb384306" /><Relationship Type="http://schemas.openxmlformats.org/officeDocument/2006/relationships/hyperlink" Target="https://meteor-uat.aihw.gov.au/content/303794" TargetMode="External" Id="R745fdc038cf44829" /><Relationship Type="http://schemas.openxmlformats.org/officeDocument/2006/relationships/hyperlink" Target="https://meteor-uat.aihw.gov.au/content/370943" TargetMode="External" Id="R60c6636904d54301" /><Relationship Type="http://schemas.openxmlformats.org/officeDocument/2006/relationships/hyperlink" Target="https://meteor-uat.aihw.gov.au/content/304133" TargetMode="External" Id="Rb080de686eab44ec" /><Relationship Type="http://schemas.openxmlformats.org/officeDocument/2006/relationships/hyperlink" Target="https://meteor-uat.aihw.gov.au/content/287316" TargetMode="External" Id="Redbe01ae6f5645c3" /><Relationship Type="http://schemas.openxmlformats.org/officeDocument/2006/relationships/hyperlink" Target="https://meteor-uat.aihw.gov.au/content/375985" TargetMode="External" Id="R49c6f17f5fc1435e" /><Relationship Type="http://schemas.openxmlformats.org/officeDocument/2006/relationships/hyperlink" Target="https://meteor-uat.aihw.gov.au/content/291036" TargetMode="External" Id="R5f2ddef7e99242fb" /><Relationship Type="http://schemas.openxmlformats.org/officeDocument/2006/relationships/hyperlink" Target="https://meteor-uat.aihw.gov.au/content/375998" TargetMode="External" Id="R917706ebd2de48be" /><Relationship Type="http://schemas.openxmlformats.org/officeDocument/2006/relationships/hyperlink" Target="https://meteor-uat.aihw.gov.au/content/413211" TargetMode="External" Id="R051d90db6ef94fe1" /><Relationship Type="http://schemas.openxmlformats.org/officeDocument/2006/relationships/hyperlink" Target="https://meteor-uat.aihw.gov.au/content/376009" TargetMode="External" Id="Rbb5e4e9e6c5549f9" /><Relationship Type="http://schemas.openxmlformats.org/officeDocument/2006/relationships/hyperlink" Target="https://meteor-uat.aihw.gov.au/content/398769" TargetMode="External" Id="R89f3152c240c4e8a" /><Relationship Type="http://schemas.openxmlformats.org/officeDocument/2006/relationships/hyperlink" Target="https://meteor-uat.aihw.gov.au/content/412959" TargetMode="External" Id="R622746038abe411a" /><Relationship Type="http://schemas.openxmlformats.org/officeDocument/2006/relationships/hyperlink" Target="https://meteor-uat.aihw.gov.au/content/410617" TargetMode="External" Id="R7bd44dcaa46f4f93" /><Relationship Type="http://schemas.openxmlformats.org/officeDocument/2006/relationships/hyperlink" Target="https://meteor-uat.aihw.gov.au/content/415745" TargetMode="External" Id="R6cb24ef03dd344f6" /><Relationship Type="http://schemas.openxmlformats.org/officeDocument/2006/relationships/hyperlink" Target="https://meteor-uat.aihw.gov.au/content/398973" TargetMode="External" Id="R05f6edbfd5d444d3" /><Relationship Type="http://schemas.openxmlformats.org/officeDocument/2006/relationships/hyperlink" Target="https://meteor-uat.aihw.gov.au/content/399014" TargetMode="External" Id="R02c1ce770122457f" /><Relationship Type="http://schemas.openxmlformats.org/officeDocument/2006/relationships/hyperlink" Target="https://meteor-uat.aihw.gov.au/content/398999" TargetMode="External" Id="R3a355d16c66a4f30" /><Relationship Type="http://schemas.openxmlformats.org/officeDocument/2006/relationships/hyperlink" Target="https://meteor-uat.aihw.gov.au/content/376069" TargetMode="External" Id="Rcb0a6cfaf3b14a23" /><Relationship Type="http://schemas.openxmlformats.org/officeDocument/2006/relationships/hyperlink" Target="https://meteor-uat.aihw.gov.au/content/415751" TargetMode="External" Id="Ra3d783cac82c4b3d" /><Relationship Type="http://schemas.openxmlformats.org/officeDocument/2006/relationships/hyperlink" Target="https://meteor-uat.aihw.gov.au/content/408416" TargetMode="External" Id="Rc4602379070e44ae" /><Relationship Type="http://schemas.openxmlformats.org/officeDocument/2006/relationships/hyperlink" Target="https://meteor-uat.aihw.gov.au/content/376074" TargetMode="External" Id="R281cb9b87eb842ac" /><Relationship Type="http://schemas.openxmlformats.org/officeDocument/2006/relationships/hyperlink" Target="https://meteor-uat.aihw.gov.au/content/376081" TargetMode="External" Id="R6401cbf7e5154baa" /><Relationship Type="http://schemas.openxmlformats.org/officeDocument/2006/relationships/hyperlink" Target="https://meteor-uat.aihw.gov.au/content/376102" TargetMode="External" Id="Rb965f4b687314c11" /><Relationship Type="http://schemas.openxmlformats.org/officeDocument/2006/relationships/hyperlink" Target="https://meteor-uat.aihw.gov.au/content/399234" TargetMode="External" Id="R23a97ed31cf14fb5" /><Relationship Type="http://schemas.openxmlformats.org/officeDocument/2006/relationships/hyperlink" Target="https://meteor-uat.aihw.gov.au/content/399225" TargetMode="External" Id="R848730da197a4710" /><Relationship Type="http://schemas.openxmlformats.org/officeDocument/2006/relationships/hyperlink" Target="https://meteor-uat.aihw.gov.au/content/399218" TargetMode="External" Id="Ra2c5b4fd31f84577" /><Relationship Type="http://schemas.openxmlformats.org/officeDocument/2006/relationships/hyperlink" Target="https://meteor-uat.aihw.gov.au/content/399232" TargetMode="External" Id="R259c37e4a4dd4aa8" /><Relationship Type="http://schemas.openxmlformats.org/officeDocument/2006/relationships/hyperlink" Target="https://meteor-uat.aihw.gov.au/content/399218" TargetMode="External" Id="Rab477751db7c464f" /><Relationship Type="http://schemas.openxmlformats.org/officeDocument/2006/relationships/hyperlink" Target="https://meteor-uat.aihw.gov.au/content/399232" TargetMode="External" Id="Ra590ca07fa744497" /><Relationship Type="http://schemas.openxmlformats.org/officeDocument/2006/relationships/hyperlink" Target="https://meteor-uat.aihw.gov.au/content/402411" TargetMode="External" Id="Rd6b970844b2e4f1c" /><Relationship Type="http://schemas.openxmlformats.org/officeDocument/2006/relationships/hyperlink" Target="https://meteor-uat.aihw.gov.au/content/402429" TargetMode="External" Id="Rcdb308c042f04693" /><Relationship Type="http://schemas.openxmlformats.org/officeDocument/2006/relationships/hyperlink" Target="https://meteor-uat.aihw.gov.au/content/402812" TargetMode="External" Id="R8606b894d12246b6" /><Relationship Type="http://schemas.openxmlformats.org/officeDocument/2006/relationships/hyperlink" Target="https://meteor-uat.aihw.gov.au/content/418641" TargetMode="External" Id="R2c02f3e6e890480e" /><Relationship Type="http://schemas.openxmlformats.org/officeDocument/2006/relationships/hyperlink" Target="https://meteor-uat.aihw.gov.au/content/412707" TargetMode="External" Id="R0824d09780d1458d" /><Relationship Type="http://schemas.openxmlformats.org/officeDocument/2006/relationships/hyperlink" Target="https://meteor-uat.aihw.gov.au/content/414715" TargetMode="External" Id="R7501bce02c424689" /><Relationship Type="http://schemas.openxmlformats.org/officeDocument/2006/relationships/hyperlink" Target="https://meteor-uat.aihw.gov.au/content/402820" TargetMode="External" Id="Re23e11665caa47ae" /><Relationship Type="http://schemas.openxmlformats.org/officeDocument/2006/relationships/hyperlink" Target="https://meteor-uat.aihw.gov.au/content/402799" TargetMode="External" Id="Rb6320c8f9d94481e" /><Relationship Type="http://schemas.openxmlformats.org/officeDocument/2006/relationships/hyperlink" Target="https://meteor-uat.aihw.gov.au/content/376304" TargetMode="External" Id="R24e3386b8b7f41e6" /><Relationship Type="http://schemas.openxmlformats.org/officeDocument/2006/relationships/hyperlink" Target="https://meteor-uat.aihw.gov.au/content/358833" TargetMode="External" Id="R638748aafd514976" /><Relationship Type="http://schemas.openxmlformats.org/officeDocument/2006/relationships/hyperlink" Target="https://meteor-uat.aihw.gov.au/content/358878" TargetMode="External" Id="R6150e201e389406a" /><Relationship Type="http://schemas.openxmlformats.org/officeDocument/2006/relationships/hyperlink" Target="https://meteor-uat.aihw.gov.au/content/358880" TargetMode="External" Id="Rb11f8440beb14b93" /><Relationship Type="http://schemas.openxmlformats.org/officeDocument/2006/relationships/hyperlink" Target="https://meteor-uat.aihw.gov.au/content/403067" TargetMode="External" Id="Rbefd78b8df8544e8" /><Relationship Type="http://schemas.openxmlformats.org/officeDocument/2006/relationships/hyperlink" Target="https://meteor-uat.aihw.gov.au/content/403077" TargetMode="External" Id="R0ed8062760c54b77" /><Relationship Type="http://schemas.openxmlformats.org/officeDocument/2006/relationships/hyperlink" Target="https://meteor-uat.aihw.gov.au/content/270249" TargetMode="External" Id="R8240de7a6c8a4d15" /><Relationship Type="http://schemas.openxmlformats.org/officeDocument/2006/relationships/hyperlink" Target="https://meteor-uat.aihw.gov.au/content/403107" TargetMode="External" Id="R0db00266e34f4160" /><Relationship Type="http://schemas.openxmlformats.org/officeDocument/2006/relationships/hyperlink" Target="https://meteor-uat.aihw.gov.au/content/413060" TargetMode="External" Id="R70dd0ae6eaab4de7" /><Relationship Type="http://schemas.openxmlformats.org/officeDocument/2006/relationships/hyperlink" Target="https://meteor-uat.aihw.gov.au/content/399275" TargetMode="External" Id="R64fff28de9e94ccc" /><Relationship Type="http://schemas.openxmlformats.org/officeDocument/2006/relationships/hyperlink" Target="https://meteor-uat.aihw.gov.au/content/399292" TargetMode="External" Id="Rce67391a8ed04cb2" /><Relationship Type="http://schemas.openxmlformats.org/officeDocument/2006/relationships/hyperlink" Target="https://meteor-uat.aihw.gov.au/content/399538" TargetMode="External" Id="R3d7dacff35fc434a" /><Relationship Type="http://schemas.openxmlformats.org/officeDocument/2006/relationships/hyperlink" Target="https://meteor-uat.aihw.gov.au/content/416274" TargetMode="External" Id="Rd920005d94d54967" /><Relationship Type="http://schemas.openxmlformats.org/officeDocument/2006/relationships/hyperlink" Target="https://meteor-uat.aihw.gov.au/content/416274" TargetMode="External" Id="R382ead2eacd44980" /><Relationship Type="http://schemas.openxmlformats.org/officeDocument/2006/relationships/hyperlink" Target="https://meteor-uat.aihw.gov.au/content/413192" TargetMode="External" Id="Re28413a10cd44331" /><Relationship Type="http://schemas.openxmlformats.org/officeDocument/2006/relationships/hyperlink" Target="https://meteor-uat.aihw.gov.au/content/365254" TargetMode="External" Id="Ra05525af0e8649b6" /><Relationship Type="http://schemas.openxmlformats.org/officeDocument/2006/relationships/hyperlink" Target="https://meteor-uat.aihw.gov.au/content/365401" TargetMode="External" Id="R9fcde29deb244cdc" /><Relationship Type="http://schemas.openxmlformats.org/officeDocument/2006/relationships/hyperlink" Target="https://meteor-uat.aihw.gov.au/content/407265" TargetMode="External" Id="Rdfa1d6b39e46463a" /><Relationship Type="http://schemas.openxmlformats.org/officeDocument/2006/relationships/hyperlink" Target="https://meteor-uat.aihw.gov.au/content/404739" TargetMode="External" Id="R65f9072f49ed4d5d" /><Relationship Type="http://schemas.openxmlformats.org/officeDocument/2006/relationships/hyperlink" Target="https://meteor-uat.aihw.gov.au/content/404745" TargetMode="External" Id="R945fd1f3ce4e43fa" /><Relationship Type="http://schemas.openxmlformats.org/officeDocument/2006/relationships/hyperlink" Target="https://meteor-uat.aihw.gov.au/content/404753" TargetMode="External" Id="R1a867b4159ad47a9" /><Relationship Type="http://schemas.openxmlformats.org/officeDocument/2006/relationships/hyperlink" Target="https://meteor-uat.aihw.gov.au/content/358921" TargetMode="External" Id="R05dccbb0b1044985" /><Relationship Type="http://schemas.openxmlformats.org/officeDocument/2006/relationships/hyperlink" Target="https://meteor-uat.aihw.gov.au/content/413204" TargetMode="External" Id="R4425ab41be5a4824" /><Relationship Type="http://schemas.openxmlformats.org/officeDocument/2006/relationships/hyperlink" Target="https://meteor-uat.aihw.gov.au/content/399559" TargetMode="External" Id="Rb94d57740adf4297" /><Relationship Type="http://schemas.openxmlformats.org/officeDocument/2006/relationships/hyperlink" Target="https://meteor-uat.aihw.gov.au/content/399602" TargetMode="External" Id="R2e569ea812454dec" /><Relationship Type="http://schemas.openxmlformats.org/officeDocument/2006/relationships/hyperlink" Target="https://meteor-uat.aihw.gov.au/content/365460" TargetMode="External" Id="Rfb2b36b2b5464a53" /><Relationship Type="http://schemas.openxmlformats.org/officeDocument/2006/relationships/hyperlink" Target="https://meteor-uat.aihw.gov.au/content/412490" TargetMode="External" Id="R7cb8413ee26043e4" /></Relationships>
</file>

<file path=word/_rels/header1.xml.rels>&#65279;<?xml version="1.0" encoding="utf-8"?><Relationships xmlns="http://schemas.openxmlformats.org/package/2006/relationships"><Relationship Type="http://schemas.openxmlformats.org/officeDocument/2006/relationships/image" Target="/media/image.png" Id="Rb8c7350fc1fc416b" /></Relationships>
</file>