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0142ca31c042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067fd0bda45d8">
              <w:r>
                <w:rPr>
                  <w:rStyle w:val="Hyperlink"/>
                  <w:color w:val="244061"/>
                </w:rPr>
                <w:t xml:space="preserve">Health!</w:t>
              </w:r>
            </w:hyperlink>
            <w:r>
              <w:rPr>
                <w:rStyle w:val="row-content"/>
                <w:color w:val="244061"/>
              </w:rPr>
              <w:t xml:space="preserve">, Superseded 04/12/2012</w:t>
            </w:r>
          </w:p>
          <w:p>
            <w:pPr>
              <w:spacing w:before="0" w:after="0"/>
            </w:pPr>
            <w:hyperlink w:history="true" r:id="Rb768036f98be4d16">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Labour Force Surveys, which are the data source for the indicator, were conducted with a focus on the overall professions, rather than Indigenous people.</w:t>
            </w:r>
          </w:p>
          <w:p>
            <w:pPr>
              <w:pStyle w:val="ListParagraph"/>
              <w:numPr>
                <w:ilvl w:val="0"/>
                <w:numId w:val="2"/>
              </w:numPr>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pStyle w:val="ListParagraph"/>
              <w:numPr>
                <w:ilvl w:val="0"/>
                <w:numId w:val="2"/>
              </w:numPr>
            </w:pPr>
            <w:r>
              <w:rPr>
                <w:rStyle w:val="row-content-rich-text"/>
              </w:rPr>
              <w:t xml:space="preserve">For the indicator, data are limited because of the small numbers of Indigenous people identified in the surveys. Small numbers are a result of:</w:t>
            </w:r>
            <w:r>
              <w:br/>
            </w:r>
            <w:r>
              <w:rPr>
                <w:rStyle w:val="row-content-rich-text"/>
              </w:rPr>
              <w:t xml:space="preserve">        • small Indigenous representation in the Australian population overall;</w:t>
            </w:r>
            <w:r>
              <w:br/>
            </w:r>
            <w:r>
              <w:rPr>
                <w:rStyle w:val="row-content-rich-text"/>
              </w:rPr>
              <w:t xml:space="preserve">        • smaller Indigenous representation in the health workforce than Australian population overall;</w:t>
            </w:r>
            <w:r>
              <w:br/>
            </w:r>
            <w:r>
              <w:rPr>
                <w:rStyle w:val="row-content-rich-text"/>
              </w:rPr>
              <w:t xml:space="preserve">        • the fact that in the survey, the Indigenous workers are self-identified and the supply of this information is voluntary.</w:t>
            </w:r>
          </w:p>
          <w:p>
            <w:pPr>
              <w:pStyle w:val="ListParagraph"/>
              <w:numPr>
                <w:ilvl w:val="0"/>
                <w:numId w:val="2"/>
              </w:numPr>
            </w:pPr>
            <w:r>
              <w:rPr>
                <w:rStyle w:val="row-content-rich-text"/>
              </w:rPr>
              <w:t xml:space="preserve">Considerable caution is advised with state and territory comparisons due to the interaction of these small numbers with the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each state and territory health authorities, with the questionnaire administered by the relevant registration board in each jurisdiction as part of the registration renewal process. Under agreement with the Australian Health Ministers Advisory Council's (AHMAC)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in the indicator is the 2007 calendar year, except for New South Wales medical practitioner data which are based on responses to the 2006 survey.</w:t>
            </w:r>
          </w:p>
          <w:p>
            <w:pPr/>
            <w:r>
              <w:rPr>
                <w:rStyle w:val="row-content-rich-text"/>
              </w:rPr>
              <w:t xml:space="preserve">In both medical and nursing surveys, the questionnaires were sent out with registration renewal papers by the respective registration boards for the professions and the timing depended on the registration practices for each profession within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and nursing and midwifery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 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Western Australia combined the response categories. This has not affected the aggregate figures for ‘Indigenous’.</w:t>
            </w:r>
          </w:p>
          <w:p>
            <w:pPr>
              <w:spacing w:after="160"/>
            </w:pPr>
            <w:r>
              <w:rPr>
                <w:rStyle w:val="row-content-rich-text"/>
              </w:rPr>
              <w:t xml:space="preserve">The focus of the surveys was the overall profession, rather than Indigenous people and for the indicator, data are limited because the numbers of Indigenous people identified in the surveys were small. Small numbers are a result of:</w:t>
            </w:r>
          </w:p>
          <w:p>
            <w:pPr>
              <w:pStyle w:val="ListParagraph"/>
              <w:numPr>
                <w:ilvl w:val="0"/>
                <w:numId w:val="4"/>
              </w:numPr>
            </w:pPr>
            <w:r>
              <w:rPr>
                <w:rStyle w:val="row-content-rich-text"/>
              </w:rPr>
              <w:t xml:space="preserve">small Indigenous representation in the Australian population overall;</w:t>
            </w:r>
          </w:p>
          <w:p>
            <w:pPr>
              <w:pStyle w:val="ListParagraph"/>
              <w:numPr>
                <w:ilvl w:val="0"/>
                <w:numId w:val="4"/>
              </w:numPr>
            </w:pPr>
            <w:r>
              <w:rPr>
                <w:rStyle w:val="row-content-rich-text"/>
              </w:rPr>
              <w:t xml:space="preserve">smaller Indigenous representation in the health workforce than Australian population overall;</w:t>
            </w:r>
          </w:p>
          <w:p>
            <w:pPr>
              <w:pStyle w:val="ListParagraph"/>
              <w:numPr>
                <w:ilvl w:val="0"/>
                <w:numId w:val="4"/>
              </w:numPr>
            </w:pPr>
            <w:r>
              <w:rPr>
                <w:rStyle w:val="row-content-rich-text"/>
              </w:rPr>
              <w:t xml:space="preserve">the fact that in the survey, the Indigenous workers are self-identified and the supply of this information is voluntary.</w:t>
            </w:r>
          </w:p>
          <w:p>
            <w:pPr>
              <w:spacing w:after="160"/>
            </w:pPr>
            <w:r>
              <w:rPr>
                <w:rStyle w:val="row-content-rich-text"/>
              </w:rPr>
              <w:t xml:space="preserve">The indicators are disaggregated by state/territory information primarily sourced from the registration boards. It should be noted that, in both surveys, response varied considerably across jurisdictions. This, coupled with small numbers resulted in some variation in the reliability of the estimates across jurisdictions. Care should be taken when drawing conclusions about the size of the differences between estimates. Note that, because of data processing problems, the 2007 indicator data for New South Wales are based on estimates produced from 2006 raw survey data.</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Postcode information was collected in the survey although, for the indicator reporting, the quality of data and small numbers of Indigenous workers prevent disaggregation by variables based on postcode (for example, ASGC Remoteness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survey,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2007 for the medical survey was 69.9% and for the nursing and midwifery survey it was 49.6% in 2007. The data have undergone imputation for item non response and weighting to adjust for population non 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w:t>
            </w:r>
          </w:p>
          <w:p>
            <w:pPr>
              <w:spacing w:after="160"/>
            </w:pPr>
            <w:r>
              <w:rPr>
                <w:rStyle w:val="row-content-rich-text"/>
              </w:rPr>
              <w:t xml:space="preserve">When comparing the 2007 AIHW Medical Labour Force Survey estimates of Indigenous medical practitioners across states and territories, note that:</w:t>
            </w:r>
          </w:p>
          <w:p>
            <w:pPr>
              <w:pStyle w:val="ListParagraph"/>
              <w:numPr>
                <w:ilvl w:val="0"/>
                <w:numId w:val="5"/>
              </w:numPr>
            </w:pPr>
            <w:r>
              <w:rPr>
                <w:rStyle w:val="row-content-rich-text"/>
              </w:rPr>
              <w:t xml:space="preserve">New South Wales data are based on responses to the 2006 Medical Labour Force Survey. Data from the 2007 survey were not used due to the estimate of employed Indigenous medical practitioners being much larger than that estimated in 2006, indicating a difference of reporting or coding is likely to have occurred.</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Northern Territory data are based on responses to the 2007 Medical Labour Force Survey weighted to 2007 number of registered practitioners by age group and sex (derived by applying 2008 age group by sex proportions to the 2007 total practitioner number), resulting in a response rate equivalent to 27.1%. Care should be taken when interpreting these figures.</w:t>
            </w:r>
          </w:p>
          <w:p>
            <w:pPr>
              <w:spacing w:after="160"/>
            </w:pPr>
            <w:r>
              <w:rPr>
                <w:rStyle w:val="row-content-rich-text"/>
              </w:rPr>
              <w:t xml:space="preserve">When comparing estimates from the 2007 Nursing and Midwifery Labour Force Survey data, state and territory estimates should be treated as indicative only because of low response rates in some jurisdictions, particularly Queensland (33.9%), Western Australia (36.7%) and the Northern Territory (28.7%).</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actually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people.</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The following information relates only to the main factors which need to be taken into account when comparing data used for the two components of Indicator 64.</w:t>
            </w:r>
          </w:p>
          <w:p>
            <w:pPr>
              <w:spacing w:after="160"/>
            </w:pPr>
            <w:r>
              <w:rPr>
                <w:rStyle w:val="row-content-rich-text"/>
              </w:rPr>
              <w:t xml:space="preserve">The main factor of concern regarding the estimates of health workers from the Census is undercounting within occupations. For the AIHW health labour force surveys, concerns are low response rates combined with inadequate medical and nursing registration data. Reference should be made to the Data Quality Statement for Indicator 64b when comparing data from the two sources.</w:t>
            </w:r>
          </w:p>
          <w:p>
            <w:pPr>
              <w:spacing w:after="160"/>
            </w:pPr>
            <w:r>
              <w:rPr>
                <w:rStyle w:val="row-content-rich-text"/>
                <w:b/>
              </w:rPr>
              <w:t xml:space="preserve">The Census</w:t>
            </w:r>
          </w:p>
          <w:p>
            <w:pPr>
              <w:spacing w:after="160"/>
            </w:pPr>
            <w:r>
              <w:rPr>
                <w:rStyle w:val="row-content-rich-text"/>
              </w:rPr>
              <w:t xml:space="preserve">The Census method of open-response coding to assign ‘occupation’ is known to result in some undercounting of workers in individual occupations.</w:t>
            </w:r>
          </w:p>
          <w:p>
            <w:pPr>
              <w:spacing w:after="160"/>
            </w:pPr>
            <w:r>
              <w:rPr>
                <w:rStyle w:val="row-content-rich-text"/>
              </w:rPr>
              <w:t xml:space="preserve">In the Census, health workers overall, are defined by the ANZSCO using the respondent’s hand-written response to the occupation questions. They are then identified in the data file by filtering on ANZSCO codes. As a means of measuring the health workforce, the Census method results in some undercount because the ability to assign an accurate code, or any code at all, is dependent on the level of detail provided by respondents and the legibility of their responses.</w:t>
            </w:r>
          </w:p>
          <w:p>
            <w:pPr>
              <w:spacing w:after="160"/>
            </w:pPr>
            <w:r>
              <w:rPr>
                <w:rStyle w:val="row-content-rich-text"/>
              </w:rPr>
              <w:t xml:space="preserve">Overall in the 2006 Census, there were some 74,913 employed people who did not provide occupation details which could be coded to the ANZSCO and although this is very low overall (less than 1% of all employed people), an unknown number were health workers, and a proportion of those will have been Indigenous Australians. For example, 1,111 of all those who were not assigned an occupation were known to be employed in health related industries (for example, hospitals, general/specialist practice, ambulance services and residential care facilities).</w:t>
            </w:r>
          </w:p>
          <w:p>
            <w:pPr>
              <w:spacing w:after="160"/>
            </w:pPr>
            <w:r>
              <w:rPr>
                <w:rStyle w:val="row-content-rich-text"/>
              </w:rPr>
              <w:t xml:space="preserve">When comparing figures between the two data sources it should be noted that the scope for health workers is different. In the Census, occupation information is collected about a person’s main job, only, and the ANZSCO assigns a health occupation to clinicians, but not to non-clinicians. Therefore, some health workers are excluded from the Census figures.</w:t>
            </w:r>
          </w:p>
          <w:p>
            <w:pPr>
              <w:spacing w:after="160"/>
            </w:pPr>
            <w:r>
              <w:rPr>
                <w:rStyle w:val="row-content-rich-text"/>
                <w:b/>
              </w:rPr>
              <w:t xml:space="preserve">The AIHW health Labour Force Surveys (AIHW surveys)</w:t>
            </w:r>
          </w:p>
          <w:p>
            <w:pPr>
              <w:spacing w:after="160"/>
            </w:pPr>
            <w:r>
              <w:rPr>
                <w:rStyle w:val="row-content-rich-text"/>
                <w:b/>
              </w:rPr>
              <w:t xml:space="preserve">Response</w:t>
            </w:r>
          </w:p>
          <w:p>
            <w:pPr>
              <w:spacing w:after="160"/>
            </w:pPr>
            <w:r>
              <w:rPr>
                <w:rStyle w:val="row-content-rich-text"/>
              </w:rPr>
              <w:t xml:space="preserve">Unlike the Census, the AIHW surveys are voluntary and in recent surveys, low response has been a growing problem in some jurisdictions, particularly in the Northern Territory, and this has affected the reliability of estimates of Indigenous medical practitioners and nurses.</w:t>
            </w:r>
          </w:p>
          <w:p>
            <w:pPr>
              <w:spacing w:after="160"/>
            </w:pPr>
            <w:r>
              <w:rPr>
                <w:rStyle w:val="row-content-rich-text"/>
              </w:rPr>
              <w:t xml:space="preserve">In the AIHW health labour force surveys, health workers are identified first, by their registration in a health profession (from administrative records) and then, by being employed in that profession (from the surveys), since they must have registration to enable work in the profession. With this approach, problems can exist if updates of the administrative records lag and if people with registration in more than one jurisdiction cannot be assigned to just one in order to obtain national estimates.</w:t>
            </w:r>
          </w:p>
          <w:p>
            <w:pPr>
              <w:spacing w:after="160"/>
            </w:pPr>
            <w:r>
              <w:rPr>
                <w:rStyle w:val="row-content-rich-text"/>
              </w:rPr>
              <w:t xml:space="preserve">Information is collected via the survey to resolve these problems.  People with lapsed registration (for example, retired etc) can be identified and people with multi-registration can be assigned to a single jurisdiction. However, a high level of response to the survey is required so that the responding group of health workers is as close a representation as possible of the health labour force as a whole and that estimation procedures which are applied to account for non-response have a sound statistical basis.</w:t>
            </w:r>
          </w:p>
          <w:p>
            <w:pPr>
              <w:spacing w:after="160"/>
            </w:pPr>
            <w:r>
              <w:rPr>
                <w:rStyle w:val="row-content-rich-text"/>
              </w:rPr>
              <w:t xml:space="preserve">In the two most recent medical surveys and nursing surveys response levels were approximately 70% for medical registrants and 50% for nursing registrants. Of particular note for estimates of Indigenous Australians is that the 2007 nursing survey response in the Queensland, Western Australia and Northern Territory was 34%, 37% and 27% respectively.</w:t>
            </w:r>
          </w:p>
          <w:p>
            <w:pPr>
              <w:spacing w:after="160"/>
            </w:pPr>
            <w:r>
              <w:rPr>
                <w:rStyle w:val="row-content-rich-text"/>
              </w:rPr>
              <w:t xml:space="preserve">Given the size of these responding populations, it is likely their characteristics were different from the health labour force as a whole, introducing some bias with the non-response adjustments applied to survey data. The result is skewness in the distribution of characteristics, such as Indigenous status, whether employed and whether retired from the profession. The overall totals also will have been affected if the adjustments for multiple registrations were subject to bias. However it is not known whether the final survey estimates were underestimates or overestimates.</w:t>
            </w:r>
          </w:p>
          <w:p>
            <w:pPr>
              <w:spacing w:after="160"/>
            </w:pPr>
            <w:r>
              <w:rPr>
                <w:rStyle w:val="row-content-rich-text"/>
                <w:b/>
              </w:rPr>
              <w:t xml:space="preserve">Registration data</w:t>
            </w:r>
          </w:p>
          <w:p>
            <w:pPr>
              <w:spacing w:after="160"/>
            </w:pPr>
            <w:r>
              <w:rPr>
                <w:rStyle w:val="row-content-rich-text"/>
              </w:rPr>
              <w:t xml:space="preserve">To account for non-response to the AIHW survey, estimates of the total number of health workers are derived from survey responses weighted to registration numbers provided by state and territory medical boards (known as benchmarks). This process relies on quality registration data and correct administration of the survey by the registration boards. Both of these have been quite variable over time and across jurisdictions.</w:t>
            </w:r>
          </w:p>
          <w:p>
            <w:pPr>
              <w:spacing w:after="160"/>
            </w:pPr>
            <w:r>
              <w:rPr>
                <w:rStyle w:val="row-content-rich-text"/>
              </w:rPr>
              <w:t xml:space="preserve">One of the main problems has been that in some surveys and jurisdictions the surveyed population has been different from the benchmark population. This has resulted in the estimates health workers being either artificially low, or artificially high, depending whether registrants were inadvertently omitted or included in the estimation process. This problem is exacerbated as response to the surveys decline.</w:t>
            </w:r>
          </w:p>
          <w:p>
            <w:pPr/>
            <w:r>
              <w:rPr>
                <w:rStyle w:val="row-content-rich-text"/>
              </w:rPr>
              <w:t xml:space="preserve">Reference should be made to the cautions which are included in the Data Quality Statement for Indicator 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127fea518a4f60">
              <w:r>
                <w:rPr>
                  <w:rStyle w:val="Hyperlink"/>
                </w:rPr>
                <w:t xml:space="preserve">National Healthcare Agreement: PI 64a: Indigenous Australians in the health workforce (for selected professions of medical practitioners and nurses/midwives), 2011 QS</w:t>
              </w:r>
            </w:hyperlink>
          </w:p>
          <w:p>
            <w:pPr>
              <w:pStyle w:val="registration-status"/>
              <w:spacing w:before="0" w:after="0"/>
            </w:pPr>
            <w:hyperlink w:history="true" r:id="R89de4a20c3cf41cb">
              <w:r>
                <w:rPr>
                  <w:rStyle w:val="Hyperlink"/>
                  <w:color w:val="244061"/>
                </w:rPr>
                <w:t xml:space="preserve">Health!</w:t>
              </w:r>
            </w:hyperlink>
            <w:r>
              <w:rPr>
                <w:rStyle w:val="row-content"/>
                <w:color w:val="244061"/>
              </w:rPr>
              <w:t xml:space="preserve">, Superseded 12/03/2015</w:t>
            </w:r>
          </w:p>
          <w:p>
            <w:pPr>
              <w:pStyle w:val="registration-status"/>
              <w:spacing w:before="0" w:after="0"/>
            </w:pPr>
            <w:hyperlink w:history="true" r:id="R9e5c828e8b6249b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f491d6385a348e6">
              <w:r>
                <w:rPr>
                  <w:rStyle w:val="Hyperlink"/>
                </w:rPr>
                <w:t xml:space="preserve">National Healthcare Agreement: P64a-Indigenous Australians in the health workforce, 2010</w:t>
              </w:r>
            </w:hyperlink>
          </w:p>
          <w:p>
            <w:pPr>
              <w:pStyle w:val="registration-status"/>
              <w:spacing w:before="0" w:after="0"/>
            </w:pPr>
            <w:hyperlink w:history="true" r:id="Rffea4e27db484598">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178a6ecb387a4f79">
              <w:r>
                <w:rPr>
                  <w:rStyle w:val="Hyperlink"/>
                  <w:color w:val="244061"/>
                </w:rPr>
                <w:t xml:space="preserve">Indigenous</w:t>
              </w:r>
            </w:hyperlink>
            <w:r>
              <w:rPr>
                <w:rStyle w:val="row-content"/>
                <w:color w:val="244061"/>
              </w:rPr>
              <w:t xml:space="preserve">, Superseded 08/06/2011</w:t>
            </w:r>
          </w:p>
          <w:p>
            <w:r>
              <w:br/>
            </w:r>
          </w:p>
        </w:tc>
      </w:tr>
    </w:tbl>
    <w:p>
      <w:r>
        <w:br/>
      </w:r>
    </w:p>
    <w:sectPr>
      <w:footerReference xmlns:r="http://schemas.openxmlformats.org/officeDocument/2006/relationships" w:type="default" r:id="R3f7556913f89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6caf61cdc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556913f8941e9" /><Relationship Type="http://schemas.openxmlformats.org/officeDocument/2006/relationships/header" Target="/word/header1.xml" Id="R7f2237d4d95d4fdd" /><Relationship Type="http://schemas.openxmlformats.org/officeDocument/2006/relationships/settings" Target="/word/settings.xml" Id="R6a7fcdd2c09a4e85" /><Relationship Type="http://schemas.openxmlformats.org/officeDocument/2006/relationships/styles" Target="/word/styles.xml" Id="R52abff710d104669" /><Relationship Type="http://schemas.openxmlformats.org/officeDocument/2006/relationships/numbering" Target="/word/numbering.xml" Id="Rbb1256cf87a741e5" /><Relationship Type="http://schemas.openxmlformats.org/officeDocument/2006/relationships/hyperlink" Target="https://meteor-uat.aihw.gov.au/RegistrationAuthority/14" TargetMode="External" Id="Rcd0067fd0bda45d8" /><Relationship Type="http://schemas.openxmlformats.org/officeDocument/2006/relationships/hyperlink" Target="https://meteor-uat.aihw.gov.au/RegistrationAuthority/9" TargetMode="External" Id="Rb768036f98be4d16" /><Relationship Type="http://schemas.openxmlformats.org/officeDocument/2006/relationships/hyperlink" Target="https://meteor-uat.aihw.gov.au/content/448973" TargetMode="External" Id="R8a127fea518a4f60" /><Relationship Type="http://schemas.openxmlformats.org/officeDocument/2006/relationships/hyperlink" Target="https://meteor-uat.aihw.gov.au/RegistrationAuthority/14" TargetMode="External" Id="R89de4a20c3cf41cb" /><Relationship Type="http://schemas.openxmlformats.org/officeDocument/2006/relationships/hyperlink" Target="https://meteor-uat.aihw.gov.au/RegistrationAuthority/9" TargetMode="External" Id="R9e5c828e8b6249ba" /><Relationship Type="http://schemas.openxmlformats.org/officeDocument/2006/relationships/hyperlink" Target="https://meteor-uat.aihw.gov.au/content/395129" TargetMode="External" Id="Rcf491d6385a348e6" /><Relationship Type="http://schemas.openxmlformats.org/officeDocument/2006/relationships/hyperlink" Target="https://meteor-uat.aihw.gov.au/RegistrationAuthority/14" TargetMode="External" Id="Rffea4e27db484598" /><Relationship Type="http://schemas.openxmlformats.org/officeDocument/2006/relationships/hyperlink" Target="https://meteor-uat.aihw.gov.au/RegistrationAuthority/9" TargetMode="External" Id="R178a6ecb387a4f79" /></Relationships>
</file>

<file path=word/_rels/header1.xml.rels>&#65279;<?xml version="1.0" encoding="utf-8"?><Relationships xmlns="http://schemas.openxmlformats.org/package/2006/relationships"><Relationship Type="http://schemas.openxmlformats.org/officeDocument/2006/relationships/image" Target="/media/image.png" Id="R6106caf61cdc4156" /></Relationships>
</file>