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b47de6dc9845b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P61-Teenage birth rate,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P61-Teenage birth rate,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5bf931b155405c">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numerator includes births to mothers aged less than 15 years, however the denominator only includes women aged 15 to 19 years.  This may result in the rate being slightly overstated.</w:t>
            </w:r>
          </w:p>
          <w:p>
            <w:pPr>
              <w:pStyle w:val="ListParagraph"/>
              <w:numPr>
                <w:ilvl w:val="0"/>
                <w:numId w:val="2"/>
              </w:numPr>
            </w:pPr>
            <w:r>
              <w:rPr>
                <w:rStyle w:val="row-content-rich-text"/>
              </w:rPr>
              <w:t xml:space="preserve">Since 2005, all jurisdictions collect information on Indigenous status of the mother in accordance with the Perinatal National Minimum Data Set (NMDS).</w:t>
            </w:r>
          </w:p>
          <w:p>
            <w:pPr>
              <w:pStyle w:val="ListParagraph"/>
              <w:numPr>
                <w:ilvl w:val="0"/>
                <w:numId w:val="2"/>
              </w:numPr>
            </w:pPr>
            <w:r>
              <w:rPr>
                <w:rStyle w:val="row-content-rich-text"/>
              </w:rPr>
              <w:t xml:space="preserve">No formal national assessment has been undertaken to determine completeness of the coverage or identification of Indigenous mothers in the National Perinatal Data Collection (NPDC) or to determine variability between states and territories. The current data have not been adjusted for under-identification of Indigenous status of the mother. Comparisons between states and territories should be interpreted with this caution.</w:t>
            </w:r>
          </w:p>
          <w:p>
            <w:pPr>
              <w:pStyle w:val="ListParagraph"/>
              <w:numPr>
                <w:ilvl w:val="0"/>
                <w:numId w:val="2"/>
              </w:numPr>
            </w:pPr>
            <w:r>
              <w:rPr>
                <w:rStyle w:val="row-content-rich-text"/>
              </w:rPr>
              <w:t xml:space="preserve">Area of usual residence of the mother is included in the NMDS and data are complete for over 99.9% mothers.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Data included in the National Perinatal Data Collection are collected as part of a National Minimum Data Set and were supplied by state and territory health authorities to the National Perinatal Statistics Unit (NPSU),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r>
              <w:br/>
            </w:r>
            <w:r>
              <w:rPr>
                <w:rStyle w:val="row-content-rich-text"/>
              </w:rPr>
              <w:t xml:space="preserve">The AIHW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States and territories supplied these data under the terms of the National Health Information Agreement (see link).</w:t>
            </w:r>
          </w:p>
          <w:p>
            <w:hyperlink w:history="true" r:id="R6b2014bd23404c0a">
              <w:r>
                <w:rPr>
                  <w:rStyle w:val="Hyperlink"/>
                </w:rPr>
                <w:t xml:space="preserve">http://www.aihw.gov.au/committees/simc/final_nhia_signed.doc</w:t>
              </w:r>
            </w:hyperlink>
            <w:r>
              <w:br/>
            </w:r>
            <w:r>
              <w:rPr>
                <w:rStyle w:val="row-content-rich-text"/>
              </w:rPr>
              <w:t xml:space="preserve">Data specifications for the Perinatal NMDS are documented in the AIHW online metadata repository —METeOR (see link).</w:t>
            </w:r>
          </w:p>
          <w:p>
            <w:hyperlink w:history="true" r:id="R16372bd5082b47c5">
              <w:r>
                <w:rPr>
                  <w:rStyle w:val="Hyperlink"/>
                </w:rPr>
                <w:t xml:space="preserve">/content/index.phtml/itemId/181162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3"/>
              </w:numPr>
            </w:pPr>
            <w:r>
              <w:rPr>
                <w:rStyle w:val="row-content-rich-text"/>
                <w:i/>
              </w:rPr>
              <w:t xml:space="preserve">Australia’s mothers and babies annual report</w:t>
            </w:r>
          </w:p>
          <w:p>
            <w:pPr>
              <w:pStyle w:val="ListParagraph"/>
              <w:numPr>
                <w:ilvl w:val="0"/>
                <w:numId w:val="3"/>
              </w:numPr>
            </w:pPr>
            <w:r>
              <w:rPr>
                <w:rStyle w:val="row-content-rich-text"/>
                <w:i/>
              </w:rPr>
              <w:t xml:space="preserve">Indigenous mothers and their babies, Australia 2001-2004</w:t>
            </w:r>
          </w:p>
          <w:p>
            <w:pPr>
              <w:pStyle w:val="ListParagraph"/>
              <w:numPr>
                <w:ilvl w:val="0"/>
                <w:numId w:val="3"/>
              </w:numPr>
            </w:pPr>
            <w:r>
              <w:rPr>
                <w:rStyle w:val="row-content-rich-text"/>
              </w:rPr>
              <w:t xml:space="preserve">METeOR – online metadata repository</w:t>
            </w:r>
          </w:p>
          <w:p>
            <w:pPr>
              <w:pStyle w:val="ListParagraph"/>
              <w:numPr>
                <w:ilvl w:val="0"/>
                <w:numId w:val="3"/>
              </w:numPr>
            </w:pPr>
            <w:r>
              <w:rPr>
                <w:rStyle w:val="row-content-rich-text"/>
                <w:i/>
              </w:rPr>
              <w:t xml:space="preserve">National health data dictionary</w:t>
            </w:r>
            <w:r>
              <w:rPr>
                <w:rStyle w:val="row-content-rich-text"/>
              </w:rPr>
              <w:t xml:space="preserve">.</w:t>
            </w:r>
          </w:p>
          <w:p>
            <w:pPr/>
            <w:r>
              <w:rPr>
                <w:rStyle w:val="row-content-rich-text"/>
              </w:rPr>
              <w:t xml:space="preserve">Adhoc data are also available on request (charges apply to recover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are published annually in </w:t>
            </w:r>
            <w:r>
              <w:rPr>
                <w:rStyle w:val="row-content-rich-text"/>
                <w:i/>
              </w:rPr>
              <w:t xml:space="preserve">Australia’s mothers and babies</w:t>
            </w:r>
            <w:r>
              <w:rPr>
                <w:rStyle w:val="row-content-rich-text"/>
              </w:rPr>
              <w:t xml:space="preserve"> (Chapter 1), available in hard copy or on the AIHW website.</w:t>
            </w:r>
          </w:p>
          <w:p>
            <w:pPr/>
            <w:r>
              <w:rPr>
                <w:rStyle w:val="row-content-rich-text"/>
              </w:rPr>
              <w:t xml:space="preserve">Comprehensive information on the quality of Perinatal NMDS elements are published in </w:t>
            </w:r>
            <w:r>
              <w:rPr>
                <w:rStyle w:val="row-content-rich-text"/>
                <w:i/>
              </w:rPr>
              <w:t xml:space="preserve">Perinatal National Minimum Data Set compliance evaluation 2001 to 2005</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 </w:t>
            </w:r>
            <w:r>
              <w:rPr>
                <w:rStyle w:val="row-content-rich-text"/>
                <w:i/>
              </w:rPr>
              <w:t xml:space="preserve">Indigenous mothers and their babies, Australia 2001-2004</w:t>
            </w:r>
            <w:r>
              <w:rPr>
                <w:rStyle w:val="row-content-rich-text"/>
              </w:rPr>
              <w:t xml:space="preserve"> (Chapter 1 &amp; Chapter 5). Metadata information for the Perinatal NMDS are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National Minimum Data Set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It includes data items relating to the mother, including demographic characteristics and factors relating to the pregnancy, labour and birth; and data items relating to the baby, including birth status (live or stillbirth), sex, gestational age at birth, birth weight, Apgar score and neonatal length of stay.</w:t>
            </w:r>
          </w:p>
          <w:p>
            <w:pPr>
              <w:spacing w:after="160"/>
            </w:pPr>
            <w:r>
              <w:rPr>
                <w:rStyle w:val="row-content-rich-text"/>
              </w:rPr>
              <w:t xml:space="preserve">The Perinatal NMDS includes all relevant data elements of interest for the numerator of this indicator. While each jurisdiction has a unique perinatal form for collecting data on which the format of the Indigenous status question and recording categories varies slightly, all systems include the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or to determine variability between states and territories. However, the proportion of Indigenous mothers for the period 1997-2006 has been consistent, at 3.2–3.7% of women who gave birth.  For maternal records (0.1%) where Indigenous status was not stated, data were excluded. Comparisons between states and territories should be interpreted with this caution.</w:t>
            </w:r>
          </w:p>
          <w:p>
            <w:pPr>
              <w:spacing w:after="160"/>
            </w:pPr>
            <w:r>
              <w:rPr>
                <w:rStyle w:val="row-content-rich-text"/>
              </w:rPr>
              <w:t xml:space="preserve">Maternal age is calculated using the date of birth of the mother and the baby. Both of these items are included in the Perinatal NMDS. For 2007 data, New South Wales was non-compliant with the Perinatal NMDS and provided maternal age rather than maternal dates of birth. No methodology on calculation of maternal age by NSW has been provided. South Australia provided confidentialised dates, adjusted based on the baby’s date of birth (recorded as the first of the month). South Australian legislation prevents the release of potentially identifiable data from its perinatal collection.</w:t>
            </w:r>
          </w:p>
          <w:p>
            <w:pPr>
              <w:spacing w:after="160"/>
            </w:pPr>
            <w:r>
              <w:rPr>
                <w:rStyle w:val="row-content-rich-text"/>
              </w:rPr>
              <w:t xml:space="preserve">The indicator is presented by Socio-Economic Indexes for Areas (SEIFA) Index for Relative Socio-Economic Disadvantage (IRSD). The data supplied to the NPDC include a 5-digit code for SLA from all states and territories except Tasmania (which supplies postal area codes).</w:t>
            </w:r>
          </w:p>
          <w:p>
            <w:pPr/>
            <w:r>
              <w:rPr>
                <w:rStyle w:val="row-content-rich-text"/>
              </w:rPr>
              <w:t xml:space="preserve">Reporting by remoteness is in accordance with the Australian Standard Geographical Classification (ASGC). Remoteness is assigned from SLA or postal area codes. The numerator and denominator for the calculation of rates for this indicator come from different sources (numerator from the NPDC and denominator from ABS population data). While population data are adjusted for undercount and missing responses to the Indigenous status question, data from the NPDC are not. This, along with changing levels of Indigenous identification over time and across jurisdictions in both the numerator and denominator may affect the accuracy of compiling a consistent time series.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Institute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Institute. This indicator is calculated on data that has been reported to the AIHW. Prior to publication, these data are referred back to jurisdictions for checking and review. The Institute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There is not full compliance with the Perinatal NMDS for maternal age. New South Wales did not provide full maternal dates of birth for 2007, instead supplying calculated maternal age. The geographical location code for the area of usual residence of the mother is included in the Perinatal NMDS. Less than 0.08% of records could not be assigned to a state or territory of residence. There is no scope in the data element </w:t>
            </w:r>
            <w:r>
              <w:rPr>
                <w:rStyle w:val="row-content-rich-text"/>
                <w:i/>
              </w:rPr>
              <w:t xml:space="preserve">Area of usual residence of mother</w:t>
            </w:r>
            <w:r>
              <w:rPr>
                <w:rStyle w:val="row-content-rich-text"/>
              </w:rPr>
              <w:t xml:space="preserve">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Data presented by Indigenous status are influenced by the quality and completeness of Indigenous identification of mothers which is likely to differ among jurisdictions. Approximately 0.1% of mothers who gave birth in the reference period had missing Indigenous status information. No adjustments have been made for under-identification or missing Indigenous status information.</w:t>
            </w:r>
          </w:p>
          <w:p>
            <w:pPr/>
            <w:r>
              <w:rPr>
                <w:rStyle w:val="row-content-rich-text"/>
              </w:rPr>
              <w:t xml:space="preserve">Cells have been suppressed to protect confidentiality (where the presentation could identify a patient or a single service provider), where rates are likely to be highly volatile (that is, the denominator is small), or data quality is known to be of insufficient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Changing levels of Indigenous identification over time and across jurisdictions may affect the accuracy of compiling a consistent time series.</w:t>
            </w:r>
          </w:p>
          <w:p>
            <w:pPr/>
            <w:r>
              <w:rPr>
                <w:rStyle w:val="row-content-rich-text"/>
              </w:rPr>
              <w:t xml:space="preserve">Differential supply of NMDS item Date of birth (used for calculating maternal age) may impact minimally on the cohesion of the data to report over time and across jurisdictions.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6c41c47df9d48af">
              <w:r>
                <w:rPr>
                  <w:rStyle w:val="Hyperlink"/>
                </w:rPr>
                <w:t xml:space="preserve">National Healthcare Agreement: PI 61: Teenage birth rate, 2011 QS</w:t>
              </w:r>
            </w:hyperlink>
          </w:p>
          <w:p>
            <w:pPr>
              <w:pStyle w:val="registration-status"/>
              <w:spacing w:before="0" w:after="0"/>
            </w:pPr>
            <w:hyperlink w:history="true" r:id="R588980ff8c3140ea">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f6f669bd7954c44">
              <w:r>
                <w:rPr>
                  <w:rStyle w:val="Hyperlink"/>
                </w:rPr>
                <w:t xml:space="preserve">National Healthcare Agreement: P61-Teenage birth rate, 2010</w:t>
              </w:r>
            </w:hyperlink>
          </w:p>
          <w:p>
            <w:pPr>
              <w:pStyle w:val="registration-status"/>
              <w:spacing w:before="0" w:after="0"/>
            </w:pPr>
            <w:hyperlink w:history="true" r:id="R9a1905e2d55349ae">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4fd816e0a9634f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abbe7ddbe945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d816e0a9634fed" /><Relationship Type="http://schemas.openxmlformats.org/officeDocument/2006/relationships/header" Target="/word/header1.xml" Id="R9be71f84a35f43e9" /><Relationship Type="http://schemas.openxmlformats.org/officeDocument/2006/relationships/settings" Target="/word/settings.xml" Id="R32a84b8c9bf64581" /><Relationship Type="http://schemas.openxmlformats.org/officeDocument/2006/relationships/styles" Target="/word/styles.xml" Id="Rc954bf553d9e472e" /><Relationship Type="http://schemas.openxmlformats.org/officeDocument/2006/relationships/numbering" Target="/word/numbering.xml" Id="Ra06d75341a0748f7" /><Relationship Type="http://schemas.openxmlformats.org/officeDocument/2006/relationships/hyperlink" Target="https://meteor-uat.aihw.gov.au/RegistrationAuthority/14" TargetMode="External" Id="Rd25bf931b155405c" /><Relationship Type="http://schemas.openxmlformats.org/officeDocument/2006/relationships/hyperlink" Target="http://www.aihw.gov.au/committees/simc/final_nhia_signed.doc" TargetMode="External" Id="R6b2014bd23404c0a" /><Relationship Type="http://schemas.openxmlformats.org/officeDocument/2006/relationships/hyperlink" Target="https://meteor-uat.aihw.gov.au/content/181162" TargetMode="External" Id="R16372bd5082b47c5" /><Relationship Type="http://schemas.openxmlformats.org/officeDocument/2006/relationships/hyperlink" Target="https://meteor-uat.aihw.gov.au/content/448960" TargetMode="External" Id="R46c41c47df9d48af" /><Relationship Type="http://schemas.openxmlformats.org/officeDocument/2006/relationships/hyperlink" Target="https://meteor-uat.aihw.gov.au/RegistrationAuthority/14" TargetMode="External" Id="R588980ff8c3140ea" /><Relationship Type="http://schemas.openxmlformats.org/officeDocument/2006/relationships/hyperlink" Target="https://meteor-uat.aihw.gov.au/content/395103" TargetMode="External" Id="R3f6f669bd7954c44" /><Relationship Type="http://schemas.openxmlformats.org/officeDocument/2006/relationships/hyperlink" Target="https://meteor-uat.aihw.gov.au/RegistrationAuthority/14" TargetMode="External" Id="R9a1905e2d55349ae" /></Relationships>
</file>

<file path=word/_rels/header1.xml.rels>&#65279;<?xml version="1.0" encoding="utf-8"?><Relationships xmlns="http://schemas.openxmlformats.org/package/2006/relationships"><Relationship Type="http://schemas.openxmlformats.org/officeDocument/2006/relationships/image" Target="/media/image.png" Id="R2cabbe7ddbe945c8" /></Relationships>
</file>