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121411ea8a4441" /></Relationships>
</file>

<file path=word/document.xml><?xml version="1.0" encoding="utf-8"?>
<w:document xmlns:r="http://schemas.openxmlformats.org/officeDocument/2006/relationships" xmlns:w="http://schemas.openxmlformats.org/wordprocessingml/2006/main">
  <w:body>
    <w:p>
      <w:pPr>
        <w:pStyle w:val="Title"/>
      </w:pPr>
      <w:r>
        <w:t>Economic resources and security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0331469e56a4446">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7644f1da1924be1"/>
                    <a:srcRect/>
                    <a:stretch>
                      <a:fillRect/>
                    </a:stretch>
                  </pic:blipFill>
                  <pic:spPr bwMode="auto">
                    <a:xfrm>
                      <a:off x="0" y="0"/>
                      <a:ext cx="114300" cy="76200"/>
                    </a:xfrm>
                    <a:prstGeom prst="rect">
                      <a:avLst/>
                    </a:prstGeom>
                  </pic:spPr>
                </pic:pic>
              </a:graphicData>
            </a:graphic>
          </wp:inline>
        </w:drawing>
      </w:r>
      <w:r>
        <w:t xml:space="preserve">"&gt; </w:t>
      </w:r>
      <w:hyperlink w:history="true" r:id="R269f4ea682e147d2">
        <w:r>
          <w:rPr>
            <w:rStyle w:val="Hyperlink"/>
          </w:rPr>
          <w:t xml:space="preserve">Autonomy and participation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7ab496140954d95"/>
                    <a:srcRect/>
                    <a:stretch>
                      <a:fillRect/>
                    </a:stretch>
                  </pic:blipFill>
                  <pic:spPr bwMode="auto">
                    <a:xfrm>
                      <a:off x="0" y="0"/>
                      <a:ext cx="114300" cy="76200"/>
                    </a:xfrm>
                    <a:prstGeom prst="rect">
                      <a:avLst/>
                    </a:prstGeom>
                  </pic:spPr>
                </pic:pic>
              </a:graphicData>
            </a:graphic>
          </wp:inline>
        </w:drawing>
      </w:r>
      <w:r>
        <w:t xml:space="preserve">"&gt; 
Economic resources and security</w:t>
      </w:r>
      <w:r>
        <w:br/>
      </w:r>
    </w:p>
    <w:p>
      <w:pPr>
        <w:pStyle w:val="Heading1"/>
      </w:pPr>
      <w:r>
        <w:t xml:space="preserve">Economic resources and security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material standard of living enjoyed by individual Australians primarily depends on their command of economic resources, both in the immediate and long term. Economic factors are related to all aspects of the welfare framework, including health, education, employment and social networks.</w:t>
            </w:r>
          </w:p>
          <w:p>
            <w:pPr>
              <w:spacing w:after="160"/>
            </w:pPr>
            <w:r>
              <w:rPr>
                <w:rStyle w:val="row-content-rich-text"/>
              </w:rPr>
              <w:t xml:space="preserve">Indicators to describe the economic wellbeing of Australians . While income data are the most commonly reported measures of economic status, an individual's income can fluctuate dramatically across different life stages, and alone does not determine material quality of life. Other factors are the extent to which income is 'buffered' by accumulated wealth, and the amount of economic resources needed to fulfil different financial commitments.</w:t>
            </w:r>
          </w:p>
          <w:p>
            <w:r>
              <w:br/>
            </w:r>
            <w:r>
              <w:rPr>
                <w:rStyle w:val="row-content-rich-text"/>
              </w:rPr>
              <w:t xml:space="preserve">Income and income distribution</w:t>
            </w:r>
          </w:p>
          <w:p>
            <w:pPr>
              <w:spacing w:after="160"/>
            </w:pPr>
            <w:r>
              <w:rPr>
                <w:rStyle w:val="row-content-rich-text"/>
              </w:rPr>
              <w:t xml:space="preserve">Income disadvantage</w:t>
            </w:r>
          </w:p>
          <w:p>
            <w:pPr>
              <w:spacing w:after="160"/>
            </w:pPr>
            <w:r>
              <w:rPr>
                <w:rStyle w:val="row-content-rich-text"/>
              </w:rPr>
              <w:t xml:space="preserve">Financial stress and hardship</w:t>
            </w:r>
          </w:p>
          <w:p>
            <w:pPr/>
            <w:r>
              <w:rPr>
                <w:rStyle w:val="row-content-rich-text"/>
              </w:rPr>
              <w:t xml:space="preserve">Wealth and wealth distribution</w:t>
            </w:r>
          </w:p>
        </w:tc>
      </w:tr>
    </w:tbl>
    <w:p>
      <w:pPr>
        <w:pStyle w:val="underlinedHeading2"/>
        <w:pBdr>
          <w:bottom w:val="single"/>
        </w:pBdr>
      </w:pPr>
      <w:r>
        <w:t xml:space="preserve">Indicators in this framework</w:t>
      </w:r>
    </w:p>
    <w:p>
      <w:pPr>
        <w:pStyle w:val="ListParagraph"/>
        <w:numPr>
          <w:ilvl w:val="0"/>
          <w:numId w:val="2"/>
        </w:numPr>
      </w:pPr>
      <w:hyperlink w:history="true" r:id="R7c9fd33245274b68">
        <w:r>
          <w:rPr>
            <w:rStyle w:val="Hyperlink"/>
          </w:rPr>
          <w:t xml:space="preserve">National Disability Agreement: c(1)-Proportion of Disability Support Pension recipients who report earnings, 2013</w:t>
        </w:r>
      </w:hyperlink>
      <w:r>
        <w:br/>
      </w:r>
      <w:r>
        <w:t xml:space="preserve">       </w:t>
      </w:r>
      <w:hyperlink w:history="true" r:id="R1447db57cb0440db">
        <w:r>
          <w:rPr>
            <w:rStyle w:val="Hyperlink"/>
            <w:color w:val="244061"/>
          </w:rPr>
          <w:t xml:space="preserve">Community Services (retired)</w:t>
        </w:r>
      </w:hyperlink>
      <w:r>
        <w:rPr>
          <w:color w:val="244061"/>
        </w:rPr>
        <w:t xml:space="preserve">, Standard 23/05/2013</w:t>
      </w:r>
      <w:r>
        <w:br/>
      </w:r>
      <w:r>
        <w:t xml:space="preserve">       </w:t>
      </w:r>
      <w:hyperlink w:history="true" r:id="R2642c923eda8488f">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20e64898d4df444f">
        <w:r>
          <w:rPr>
            <w:rStyle w:val="Hyperlink"/>
          </w:rPr>
          <w:t xml:space="preserve">National Disability Agreement: c(2)-Proportion of Newstart and Youth Allowance recipients with disability and an assessed future work capacity of 0-29 hours per week who report earnings, 2013</w:t>
        </w:r>
      </w:hyperlink>
      <w:r>
        <w:br/>
      </w:r>
      <w:r>
        <w:t xml:space="preserve">       </w:t>
      </w:r>
      <w:hyperlink w:history="true" r:id="Ra973b8103bec4940">
        <w:r>
          <w:rPr>
            <w:rStyle w:val="Hyperlink"/>
            <w:color w:val="244061"/>
          </w:rPr>
          <w:t xml:space="preserve">Community Services (retired)</w:t>
        </w:r>
      </w:hyperlink>
      <w:r>
        <w:rPr>
          <w:color w:val="244061"/>
        </w:rPr>
        <w:t xml:space="preserve">, Standard 23/05/2013</w:t>
      </w:r>
      <w:r>
        <w:br/>
      </w:r>
      <w:r>
        <w:t xml:space="preserve">       </w:t>
      </w:r>
      <w:hyperlink w:history="true" r:id="R05d1b8c3aaa04113">
        <w:r>
          <w:rPr>
            <w:rStyle w:val="Hyperlink"/>
            <w:color w:val="244061"/>
          </w:rPr>
          <w:t xml:space="preserve">Disability</w:t>
        </w:r>
      </w:hyperlink>
      <w:r>
        <w:rPr>
          <w:color w:val="244061"/>
        </w:rPr>
        <w:t xml:space="preserve">, Standard 13/08/2015</w:t>
      </w:r>
    </w:p>
    <w:p>
      <w:r>
        <w:br/>
      </w:r>
    </w:p>
    <w:sectPr>
      <w:footerReference xmlns:r="http://schemas.openxmlformats.org/officeDocument/2006/relationships" w:type="default" r:id="Rf3c445d398a7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636f50c65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445d398a74448" /><Relationship Type="http://schemas.openxmlformats.org/officeDocument/2006/relationships/header" Target="/word/header1.xml" Id="Rb03354e4755e447a" /><Relationship Type="http://schemas.openxmlformats.org/officeDocument/2006/relationships/settings" Target="/word/settings.xml" Id="R068f034dae5d4244" /><Relationship Type="http://schemas.openxmlformats.org/officeDocument/2006/relationships/styles" Target="/word/styles.xml" Id="R75a34259742b40ab" /><Relationship Type="http://schemas.openxmlformats.org/officeDocument/2006/relationships/image" Target="/media/image.gif" Id="R17644f1da1924be1" /><Relationship Type="http://schemas.openxmlformats.org/officeDocument/2006/relationships/image" Target="/media/image2.gif" Id="Rb7ab496140954d95" /><Relationship Type="http://schemas.openxmlformats.org/officeDocument/2006/relationships/numbering" Target="/word/numbering.xml" Id="R349d1e4c1ff74dc8" /><Relationship Type="http://schemas.openxmlformats.org/officeDocument/2006/relationships/hyperlink" Target="https://meteor-uat.aihw.gov.au/content/392692" TargetMode="External" Id="R70331469e56a4446" /><Relationship Type="http://schemas.openxmlformats.org/officeDocument/2006/relationships/hyperlink" Target="https://meteor-uat.aihw.gov.au/content/392703" TargetMode="External" Id="R269f4ea682e147d2" /><Relationship Type="http://schemas.openxmlformats.org/officeDocument/2006/relationships/hyperlink" Target="https://meteor-uat.aihw.gov.au/content/491937" TargetMode="External" Id="R7c9fd33245274b68" /><Relationship Type="http://schemas.openxmlformats.org/officeDocument/2006/relationships/hyperlink" Target="https://meteor-uat.aihw.gov.au/RegistrationAuthority/3" TargetMode="External" Id="R1447db57cb0440db" /><Relationship Type="http://schemas.openxmlformats.org/officeDocument/2006/relationships/hyperlink" Target="https://meteor-uat.aihw.gov.au/RegistrationAuthority/18" TargetMode="External" Id="R2642c923eda8488f" /><Relationship Type="http://schemas.openxmlformats.org/officeDocument/2006/relationships/hyperlink" Target="https://meteor-uat.aihw.gov.au/content/491939" TargetMode="External" Id="R20e64898d4df444f" /><Relationship Type="http://schemas.openxmlformats.org/officeDocument/2006/relationships/hyperlink" Target="https://meteor-uat.aihw.gov.au/RegistrationAuthority/3" TargetMode="External" Id="Ra973b8103bec4940" /><Relationship Type="http://schemas.openxmlformats.org/officeDocument/2006/relationships/hyperlink" Target="https://meteor-uat.aihw.gov.au/RegistrationAuthority/18" TargetMode="External" Id="R05d1b8c3aaa04113" /></Relationships>
</file>

<file path=word/_rels/header1.xml.rels>&#65279;<?xml version="1.0" encoding="utf-8"?><Relationships xmlns="http://schemas.openxmlformats.org/package/2006/relationships"><Relationship Type="http://schemas.openxmlformats.org/officeDocument/2006/relationships/image" Target="/media/image.png" Id="Rd42636f50c654786" /></Relationships>
</file>