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c8571b8164342" /></Relationships>
</file>

<file path=word/document.xml><?xml version="1.0" encoding="utf-8"?>
<w:document xmlns:r="http://schemas.openxmlformats.org/officeDocument/2006/relationships" xmlns:w="http://schemas.openxmlformats.org/wordprocessingml/2006/main">
  <w:body>
    <w:p>
      <w:pPr>
        <w:pStyle w:val="Title"/>
      </w:pPr>
      <w:r>
        <w:t>Surveillance of healthcare associated infection: Staphylococcus aureus bacteraemia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 of healthcare associated infection: Staphylococcus aureus bacteraemia NBPDS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071db34d24d3402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78cca76ef64f4ac7">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e0281236038345aa">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1ac17cac2fe94b89">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ede87ce364dd45e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507082d15f31440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20303a56ce7b49a9">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053090e6c4d34ab7">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8d1c05959938491d">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10</w:t>
                  </w:r>
                </w:p>
              </w:tc>
              <w:tc>
                <w:tcPr>
                  <w:tcMar/>
                  <w:vAlign w:val="top"/>
                </w:tcPr>
                <w:p>
                  <w:hyperlink w:history="true" r:id="R415ac27c0f0d4c6a">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11</w:t>
                  </w:r>
                </w:p>
              </w:tc>
              <w:tc>
                <w:tcPr>
                  <w:tcMar/>
                  <w:vAlign w:val="top"/>
                </w:tcPr>
                <w:p>
                  <w:hyperlink w:history="true" r:id="R5fc445af366744fd">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12</w:t>
                  </w:r>
                </w:p>
              </w:tc>
              <w:tc>
                <w:tcPr>
                  <w:tcMar/>
                  <w:vAlign w:val="top"/>
                </w:tcPr>
                <w:p>
                  <w:hyperlink w:history="true" r:id="Rea4e767035e644a3">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13</w:t>
                  </w:r>
                </w:p>
              </w:tc>
              <w:tc>
                <w:tcPr>
                  <w:tcMar/>
                  <w:vAlign w:val="top"/>
                </w:tcPr>
                <w:p>
                  <w:hyperlink w:history="true" r:id="Rda6d72e605fc4b45">
                    <w:r>
                      <w:rPr>
                        <w:rStyle w:val="Hyperlink"/>
                      </w:rPr>
                      <w:t xml:space="preserve">Ward/clinical area</w:t>
                    </w:r>
                  </w:hyperlink>
                </w:p>
              </w:tc>
              <w:tc>
                <w:tcPr>
                  <w:vAlign w:val="top"/>
                </w:tcPr>
                <w:p>
                  <w:r>
                    <w:t xml:space="preserve">389201</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14</w:t>
                  </w:r>
                </w:p>
              </w:tc>
              <w:tc>
                <w:tcPr>
                  <w:tcMar/>
                  <w:vAlign w:val="top"/>
                </w:tcPr>
                <w:p>
                  <w:hyperlink w:history="true" r:id="Re115e932fd9a45d2">
                    <w:r>
                      <w:rPr>
                        <w:rStyle w:val="Hyperlink"/>
                      </w:rPr>
                      <w:t xml:space="preserve">Specimen collection date</w:t>
                    </w:r>
                  </w:hyperlink>
                </w:p>
              </w:tc>
              <w:tc>
                <w:tcPr>
                  <w:vAlign w:val="top"/>
                </w:tcPr>
                <w:p>
                  <w:r>
                    <w:t xml:space="preserve">428420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15</w:t>
                  </w:r>
                </w:p>
              </w:tc>
              <w:tc>
                <w:tcPr>
                  <w:tcMar/>
                  <w:vAlign w:val="top"/>
                </w:tcPr>
                <w:p>
                  <w:hyperlink w:history="true" r:id="R26de351eaaa44a03">
                    <w:r>
                      <w:rPr>
                        <w:rStyle w:val="Hyperlink"/>
                      </w:rPr>
                      <w:t xml:space="preserve">Specimen collection time</w:t>
                    </w:r>
                  </w:hyperlink>
                </w:p>
              </w:tc>
              <w:tc>
                <w:tcPr>
                  <w:vAlign w:val="top"/>
                </w:tcPr>
                <w:p>
                  <w:r>
                    <w:t xml:space="preserve">438491</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16</w:t>
                  </w:r>
                </w:p>
              </w:tc>
              <w:tc>
                <w:tcPr>
                  <w:tcMar/>
                  <w:vAlign w:val="top"/>
                </w:tcPr>
                <w:p>
                  <w:hyperlink w:history="true" r:id="Rd833b05015634a2d">
                    <w:r>
                      <w:rPr>
                        <w:rStyle w:val="Hyperlink"/>
                      </w:rPr>
                      <w:t xml:space="preserve">Laboratory number</w:t>
                    </w:r>
                  </w:hyperlink>
                </w:p>
              </w:tc>
              <w:tc>
                <w:tcPr>
                  <w:vAlign w:val="top"/>
                </w:tcPr>
                <w:p>
                  <w:r>
                    <w:t xml:space="preserve">390779</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17</w:t>
                  </w:r>
                </w:p>
              </w:tc>
              <w:tc>
                <w:tcPr>
                  <w:tcMar/>
                  <w:vAlign w:val="top"/>
                </w:tcPr>
                <w:p>
                  <w:hyperlink w:history="true" r:id="Re75ce02ce79746b6">
                    <w:r>
                      <w:rPr>
                        <w:rStyle w:val="Hyperlink"/>
                      </w:rPr>
                      <w:t xml:space="preserve">Specimen identifier</w:t>
                    </w:r>
                  </w:hyperlink>
                </w:p>
              </w:tc>
              <w:tc>
                <w:tcPr>
                  <w:vAlign w:val="top"/>
                </w:tcPr>
                <w:p>
                  <w:r>
                    <w:t xml:space="preserve">428518</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18</w:t>
                  </w:r>
                </w:p>
              </w:tc>
              <w:tc>
                <w:tcPr>
                  <w:tcMar/>
                  <w:vAlign w:val="top"/>
                </w:tcPr>
                <w:p>
                  <w:hyperlink w:history="true" r:id="R4a7ec1d757084576">
                    <w:r>
                      <w:rPr>
                        <w:rStyle w:val="Hyperlink"/>
                      </w:rPr>
                      <w:t xml:space="preserve">Laboratory result identifier</w:t>
                    </w:r>
                  </w:hyperlink>
                </w:p>
              </w:tc>
              <w:tc>
                <w:tcPr>
                  <w:vAlign w:val="top"/>
                </w:tcPr>
                <w:p>
                  <w:r>
                    <w:t xml:space="preserve">428639</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19</w:t>
                  </w:r>
                </w:p>
              </w:tc>
              <w:tc>
                <w:tcPr>
                  <w:tcMar/>
                  <w:vAlign w:val="top"/>
                </w:tcPr>
                <w:p>
                  <w:hyperlink w:history="true" r:id="Rba54474debc246f1">
                    <w:r>
                      <w:rPr>
                        <w:rStyle w:val="Hyperlink"/>
                      </w:rPr>
                      <w:t xml:space="preserve">Healthcare associated Staphylococcus aureus bacteraemia clinical criteria</w:t>
                    </w:r>
                  </w:hyperlink>
                </w:p>
              </w:tc>
              <w:tc>
                <w:tcPr>
                  <w:vAlign w:val="top"/>
                </w:tcPr>
                <w:p>
                  <w:r>
                    <w:t xml:space="preserve">388928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The patient episode of SAB is a complication of the presence of an indwelling medical device (e.g. intravascular line, haemodialysis vascular access, CSF shunt, urinary catheter)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The patient episode of SAB occurs within 30 days of a surgical procedure where the SAB is related to the surgical site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patient episode of SAB was diagnosed within 48 hours of a related invasive instrumentation or incision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patient episode of SAB is associated with neutropenia (Neutrophils: less than 1 x 10^9/L) contributed to by cytotoxic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a232cd793ba24353">
                    <w:r>
                      <w:rPr>
                        <w:rStyle w:val="Hyperlink"/>
                      </w:rPr>
                      <w:t xml:space="preserve">Staphylococcus aureus bacteraemia status</w:t>
                    </w:r>
                  </w:hyperlink>
                </w:p>
              </w:tc>
              <w:tc>
                <w:tcPr>
                  <w:vAlign w:val="top"/>
                </w:tcPr>
                <w:p>
                  <w:r>
                    <w:t xml:space="preserve">458219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Healthcare associated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Community-acquired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21</w:t>
                  </w:r>
                </w:p>
              </w:tc>
              <w:tc>
                <w:tcPr>
                  <w:tcMar/>
                  <w:vAlign w:val="top"/>
                </w:tcPr>
                <w:p>
                  <w:hyperlink w:history="true" r:id="Rc74f1f2812a04c8c">
                    <w:r>
                      <w:rPr>
                        <w:rStyle w:val="Hyperlink"/>
                      </w:rPr>
                      <w:t xml:space="preserve">Staphylococcus aureus bacteraemia methicillin susceptibility indicator </w:t>
                    </w:r>
                  </w:hyperlink>
                </w:p>
              </w:tc>
              <w:tc>
                <w:tcPr>
                  <w:vAlign w:val="top"/>
                </w:tcPr>
                <w:p>
                  <w:r>
                    <w:t xml:space="preserve">458522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22</w:t>
                  </w:r>
                </w:p>
              </w:tc>
              <w:tc>
                <w:tcPr>
                  <w:tcMar/>
                  <w:vAlign w:val="top"/>
                </w:tcPr>
                <w:p>
                  <w:hyperlink w:history="true" r:id="R99460b50df824830">
                    <w:r>
                      <w:rPr>
                        <w:rStyle w:val="Hyperlink"/>
                      </w:rPr>
                      <w:t xml:space="preserve">Antibiotic susceptibility (Methicillin-resistant Staphylococcus aureus isolate) </w:t>
                    </w:r>
                  </w:hyperlink>
                </w:p>
              </w:tc>
              <w:tc>
                <w:tcPr>
                  <w:vAlign w:val="top"/>
                </w:tcPr>
                <w:p>
                  <w:r>
                    <w:t xml:space="preserve">391098</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23</w:t>
                  </w:r>
                </w:p>
              </w:tc>
              <w:tc>
                <w:tcPr>
                  <w:tcMar/>
                  <w:vAlign w:val="top"/>
                </w:tcPr>
                <w:p>
                  <w:hyperlink w:history="true" r:id="Rd832a78bbc2a47e7">
                    <w:r>
                      <w:rPr>
                        <w:rStyle w:val="Hyperlink"/>
                      </w:rPr>
                      <w:t xml:space="preserve">Antibiotic susceptibility indicator (Methicillin-resistant Staphylococcus aureus isolate) </w:t>
                    </w:r>
                  </w:hyperlink>
                </w:p>
              </w:tc>
              <w:tc>
                <w:tcPr>
                  <w:vAlign w:val="top"/>
                </w:tcPr>
                <w:p>
                  <w:r>
                    <w:t xml:space="preserve">458628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24</w:t>
                  </w:r>
                </w:p>
              </w:tc>
              <w:tc>
                <w:tcPr>
                  <w:tcMar/>
                  <w:vAlign w:val="top"/>
                </w:tcPr>
                <w:p>
                  <w:hyperlink w:history="true" r:id="R9c0ce1a42320490e">
                    <w:r>
                      <w:rPr>
                        <w:rStyle w:val="Hyperlink"/>
                      </w:rPr>
                      <w:t xml:space="preserve">Patient days</w:t>
                    </w:r>
                  </w:hyperlink>
                </w:p>
              </w:tc>
              <w:tc>
                <w:tcPr>
                  <w:vAlign w:val="top"/>
                </w:tcPr>
                <w:p>
                  <w:r>
                    <w:t xml:space="preserve">270045</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25</w:t>
                  </w:r>
                </w:p>
              </w:tc>
              <w:tc>
                <w:tcPr>
                  <w:tcMar/>
                  <w:vAlign w:val="top"/>
                </w:tcPr>
                <w:p>
                  <w:hyperlink w:history="true" r:id="R268954602eff4553">
                    <w:r>
                      <w:rPr>
                        <w:rStyle w:val="Hyperlink"/>
                      </w:rPr>
                      <w:t xml:space="preserve">Patient episodes of healthcare associated Staphylococcus aureus bacteraemia </w:t>
                    </w:r>
                  </w:hyperlink>
                </w:p>
              </w:tc>
              <w:tc>
                <w:tcPr>
                  <w:vAlign w:val="top"/>
                </w:tcPr>
                <w:p>
                  <w:r>
                    <w:t xml:space="preserve">428594</w:t>
                  </w:r>
                </w:p>
              </w:tc>
              <w:tc>
                <w:tcPr>
                  <w:vAlign w:val="top"/>
                </w:tcPr>
                <w:p>
                  <w:r>
                    <w:t xml:space="preserve">Number
[5]</w:t>
                  </w:r>
                </w:p>
              </w:tc>
              <w:tc>
                <w:tcPr>
                  <w:vAlign w:val="top"/>
                </w:tcPr>
                <w:p>
                  <w:r>
                    <w:t xml:space="preserve">N[NNNN]</w:t>
                  </w:r>
                  <w:r>
                    <w:br/>
                  </w:r>
                  <w:r>
                    <w:t xml:space="preserve">Number of episodes.</w:t>
                  </w:r>
                </w:p>
              </w:tc>
            </w:tr>
            <w:tr>
              <w:trPr/>
              <w:tc>
                <w:tcPr>
                  <w:tcMar>
                    <w:right w:w="29" w:type="dxa"/>
                  </w:tcMar>
                  <w:vAlign w:val="top"/>
                </w:tcPr>
                <w:p>
                  <w:pPr>
                    <w:keepNext/>
                    <w:jc w:val="center"/>
                  </w:pPr>
                  <w:r>
                    <w:t xml:space="preserve">26</w:t>
                  </w:r>
                </w:p>
              </w:tc>
              <w:tc>
                <w:tcPr>
                  <w:tcMar/>
                  <w:vAlign w:val="top"/>
                </w:tcPr>
                <w:p>
                  <w:hyperlink w:history="true" r:id="R34f608b2b0364411">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bl>
          <w:p/>
        </w:tc>
      </w:tr>
    </w:tbl>
    <w:p>
      <w:r>
        <w:br/>
      </w:r>
    </w:p>
    <w:sectPr>
      <w:footerReference xmlns:r="http://schemas.openxmlformats.org/officeDocument/2006/relationships" w:type="default" r:id="Rf725859bf833439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3d861e086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5859bf8334399" /><Relationship Type="http://schemas.openxmlformats.org/officeDocument/2006/relationships/header" Target="/word/header1.xml" Id="R9eb2620bcbd7419a" /><Relationship Type="http://schemas.openxmlformats.org/officeDocument/2006/relationships/settings" Target="/word/settings.xml" Id="Rd3ec6dde726440eb" /><Relationship Type="http://schemas.openxmlformats.org/officeDocument/2006/relationships/styles" Target="/word/styles.xml" Id="Ra87e920db7724617" /><Relationship Type="http://schemas.openxmlformats.org/officeDocument/2006/relationships/hyperlink" Target="https://meteor-uat.aihw.gov.au/content/290046" TargetMode="External" Id="R071db34d24d3402b" /><Relationship Type="http://schemas.openxmlformats.org/officeDocument/2006/relationships/hyperlink" Target="https://meteor-uat.aihw.gov.au/content/286953" TargetMode="External" Id="R78cca76ef64f4ac7" /><Relationship Type="http://schemas.openxmlformats.org/officeDocument/2006/relationships/hyperlink" Target="https://meteor-uat.aihw.gov.au/content/287035" TargetMode="External" Id="Re0281236038345aa" /><Relationship Type="http://schemas.openxmlformats.org/officeDocument/2006/relationships/hyperlink" Target="https://meteor-uat.aihw.gov.au/content/602543" TargetMode="External" Id="R1ac17cac2fe94b89" /><Relationship Type="http://schemas.openxmlformats.org/officeDocument/2006/relationships/hyperlink" Target="https://meteor-uat.aihw.gov.au/content/287007" TargetMode="External" Id="Rede87ce364dd45e4" /><Relationship Type="http://schemas.openxmlformats.org/officeDocument/2006/relationships/hyperlink" Target="https://meteor-uat.aihw.gov.au/content/287316" TargetMode="External" Id="R507082d15f314405" /><Relationship Type="http://schemas.openxmlformats.org/officeDocument/2006/relationships/hyperlink" Target="https://meteor-uat.aihw.gov.au/content/286620" TargetMode="External" Id="R20303a56ce7b49a9" /><Relationship Type="http://schemas.openxmlformats.org/officeDocument/2006/relationships/hyperlink" Target="https://meteor-uat.aihw.gov.au/content/429889" TargetMode="External" Id="R053090e6c4d34ab7" /><Relationship Type="http://schemas.openxmlformats.org/officeDocument/2006/relationships/hyperlink" Target="https://meteor-uat.aihw.gov.au/content/286919" TargetMode="External" Id="R8d1c05959938491d" /><Relationship Type="http://schemas.openxmlformats.org/officeDocument/2006/relationships/hyperlink" Target="https://meteor-uat.aihw.gov.au/content/429894" TargetMode="External" Id="R415ac27c0f0d4c6a" /><Relationship Type="http://schemas.openxmlformats.org/officeDocument/2006/relationships/hyperlink" Target="https://meteor-uat.aihw.gov.au/content/269967" TargetMode="External" Id="R5fc445af366744fd" /><Relationship Type="http://schemas.openxmlformats.org/officeDocument/2006/relationships/hyperlink" Target="https://meteor-uat.aihw.gov.au/content/270025" TargetMode="External" Id="Rea4e767035e644a3" /><Relationship Type="http://schemas.openxmlformats.org/officeDocument/2006/relationships/hyperlink" Target="https://meteor-uat.aihw.gov.au/content/389201" TargetMode="External" Id="Rda6d72e605fc4b45" /><Relationship Type="http://schemas.openxmlformats.org/officeDocument/2006/relationships/hyperlink" Target="https://meteor-uat.aihw.gov.au/content/428420" TargetMode="External" Id="Re115e932fd9a45d2" /><Relationship Type="http://schemas.openxmlformats.org/officeDocument/2006/relationships/hyperlink" Target="https://meteor-uat.aihw.gov.au/content/438491" TargetMode="External" Id="R26de351eaaa44a03" /><Relationship Type="http://schemas.openxmlformats.org/officeDocument/2006/relationships/hyperlink" Target="https://meteor-uat.aihw.gov.au/content/390779" TargetMode="External" Id="Rd833b05015634a2d" /><Relationship Type="http://schemas.openxmlformats.org/officeDocument/2006/relationships/hyperlink" Target="https://meteor-uat.aihw.gov.au/content/428518" TargetMode="External" Id="Re75ce02ce79746b6" /><Relationship Type="http://schemas.openxmlformats.org/officeDocument/2006/relationships/hyperlink" Target="https://meteor-uat.aihw.gov.au/content/428639" TargetMode="External" Id="R4a7ec1d757084576" /><Relationship Type="http://schemas.openxmlformats.org/officeDocument/2006/relationships/hyperlink" Target="https://meteor-uat.aihw.gov.au/content/388928" TargetMode="External" Id="Rba54474debc246f1" /><Relationship Type="http://schemas.openxmlformats.org/officeDocument/2006/relationships/hyperlink" Target="https://meteor-uat.aihw.gov.au/content/458219" TargetMode="External" Id="Ra232cd793ba24353" /><Relationship Type="http://schemas.openxmlformats.org/officeDocument/2006/relationships/hyperlink" Target="https://meteor-uat.aihw.gov.au/content/458522" TargetMode="External" Id="Rc74f1f2812a04c8c" /><Relationship Type="http://schemas.openxmlformats.org/officeDocument/2006/relationships/hyperlink" Target="https://meteor-uat.aihw.gov.au/content/391098" TargetMode="External" Id="R99460b50df824830" /><Relationship Type="http://schemas.openxmlformats.org/officeDocument/2006/relationships/hyperlink" Target="https://meteor-uat.aihw.gov.au/content/458628" TargetMode="External" Id="Rd832a78bbc2a47e7" /><Relationship Type="http://schemas.openxmlformats.org/officeDocument/2006/relationships/hyperlink" Target="https://meteor-uat.aihw.gov.au/content/270045" TargetMode="External" Id="R9c0ce1a42320490e" /><Relationship Type="http://schemas.openxmlformats.org/officeDocument/2006/relationships/hyperlink" Target="https://meteor-uat.aihw.gov.au/content/428594" TargetMode="External" Id="R268954602eff4553" /><Relationship Type="http://schemas.openxmlformats.org/officeDocument/2006/relationships/hyperlink" Target="https://meteor-uat.aihw.gov.au/content/269975" TargetMode="External" Id="R34f608b2b0364411" /></Relationships>
</file>

<file path=word/_rels/header1.xml.rels>&#65279;<?xml version="1.0" encoding="utf-8"?><Relationships xmlns="http://schemas.openxmlformats.org/package/2006/relationships"><Relationship Type="http://schemas.openxmlformats.org/officeDocument/2006/relationships/image" Target="/media/image.png" Id="R4913d861e08640bb" /></Relationships>
</file>