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eddf88dcf74274"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6511ab67944e9">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without change in detention centre and without escaping or absconding.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Detention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episode—legal order/arrangement type, detention type code N</w:t>
            </w:r>
          </w:p>
          <w:p>
            <w:pPr>
              <w:pStyle w:val="ListParagraph"/>
              <w:numPr>
                <w:ilvl w:val="0"/>
                <w:numId w:val="2"/>
              </w:numPr>
            </w:pPr>
            <w:r>
              <w:rPr>
                <w:rStyle w:val="row-content-rich-text"/>
              </w:rPr>
              <w:t xml:space="preserve">Service episode—detention end reason code N[N]</w:t>
            </w:r>
          </w:p>
          <w:p>
            <w:pPr>
              <w:pStyle w:val="ListParagraph"/>
              <w:numPr>
                <w:ilvl w:val="0"/>
                <w:numId w:val="2"/>
              </w:numPr>
            </w:pPr>
            <w:r>
              <w:rPr>
                <w:rStyle w:val="row-content-rich-text"/>
              </w:rPr>
              <w:t xml:space="preserve">Person (address)—suburb/town/locality name, text [A(50)]</w:t>
            </w:r>
          </w:p>
          <w:p>
            <w:pPr>
              <w:pStyle w:val="ListParagraph"/>
              <w:numPr>
                <w:ilvl w:val="0"/>
                <w:numId w:val="2"/>
              </w:numPr>
            </w:pPr>
            <w:r>
              <w:rPr>
                <w:rStyle w:val="row-content-rich-text"/>
              </w:rPr>
              <w:t xml:space="preserve">Person (address)—Australian postcode, code (Postcode datafile) {NNNN}</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e77f033674993">
              <w:r>
                <w:rPr>
                  <w:rStyle w:val="Hyperlink"/>
                </w:rPr>
                <w:t xml:space="preserve">Juvenile Justice NMDS 2009</w:t>
              </w:r>
            </w:hyperlink>
          </w:p>
          <w:p>
            <w:pPr>
              <w:pStyle w:val="registration-status"/>
              <w:spacing w:before="0" w:after="0"/>
            </w:pPr>
            <w:hyperlink w:history="true" r:id="R28b840984a42473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c9eafd39240d6">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85412f182477b">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3008044a344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d1ecac72c46b0">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d25671e1f4ee2">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619cac07041c2">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64661381c443b">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0125c06384ba7">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cff9d0f854ef3">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80360dae6e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e469d8a68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0360dae6e49af" /><Relationship Type="http://schemas.openxmlformats.org/officeDocument/2006/relationships/header" Target="/word/header1.xml" Id="R1afe2615caa145e1" /><Relationship Type="http://schemas.openxmlformats.org/officeDocument/2006/relationships/settings" Target="/word/settings.xml" Id="R2d172e6125304c1f" /><Relationship Type="http://schemas.openxmlformats.org/officeDocument/2006/relationships/styles" Target="/word/styles.xml" Id="R6fd101429d104413" /><Relationship Type="http://schemas.openxmlformats.org/officeDocument/2006/relationships/numbering" Target="/word/numbering.xml" Id="R6ec4829839fd4ff9" /><Relationship Type="http://schemas.openxmlformats.org/officeDocument/2006/relationships/hyperlink" Target="https://meteor-uat.aihw.gov.au/RegistrationAuthority/3" TargetMode="External" Id="R0896511ab67944e9" /><Relationship Type="http://schemas.openxmlformats.org/officeDocument/2006/relationships/hyperlink" Target="https://meteor-uat.aihw.gov.au/content/378088" TargetMode="External" Id="Rcb4e77f033674993" /><Relationship Type="http://schemas.openxmlformats.org/officeDocument/2006/relationships/hyperlink" Target="https://meteor-uat.aihw.gov.au/RegistrationAuthority/3" TargetMode="External" Id="R28b840984a424738" /><Relationship Type="http://schemas.openxmlformats.org/officeDocument/2006/relationships/hyperlink" Target="https://meteor-uat.aihw.gov.au/content/287224" TargetMode="External" Id="R323c9eafd39240d6" /><Relationship Type="http://schemas.openxmlformats.org/officeDocument/2006/relationships/hyperlink" Target="https://meteor-uat.aihw.gov.au/content/287326" TargetMode="External" Id="R3da85412f182477b" /><Relationship Type="http://schemas.openxmlformats.org/officeDocument/2006/relationships/hyperlink" Target="https://meteor-uat.aihw.gov.au/content/290046" TargetMode="External" Id="R3f23008044a3449a" /><Relationship Type="http://schemas.openxmlformats.org/officeDocument/2006/relationships/hyperlink" Target="https://meteor-uat.aihw.gov.au/content/387524" TargetMode="External" Id="R45cd1ecac72c46b0" /><Relationship Type="http://schemas.openxmlformats.org/officeDocument/2006/relationships/hyperlink" Target="https://meteor-uat.aihw.gov.au/content/388295" TargetMode="External" Id="R3a2d25671e1f4ee2" /><Relationship Type="http://schemas.openxmlformats.org/officeDocument/2006/relationships/hyperlink" Target="https://meteor-uat.aihw.gov.au/content/270160" TargetMode="External" Id="R3f9619cac07041c2" /><Relationship Type="http://schemas.openxmlformats.org/officeDocument/2006/relationships/hyperlink" Target="https://meteor-uat.aihw.gov.au/content/338558" TargetMode="External" Id="Rcca64661381c443b" /><Relationship Type="http://schemas.openxmlformats.org/officeDocument/2006/relationships/hyperlink" Target="https://meteor-uat.aihw.gov.au/content/290064" TargetMode="External" Id="Rcc30125c06384ba7" /><Relationship Type="http://schemas.openxmlformats.org/officeDocument/2006/relationships/hyperlink" Target="https://meteor-uat.aihw.gov.au/content/288917" TargetMode="External" Id="R235cff9d0f854ef3" /></Relationships>
</file>

<file path=word/_rels/header1.xml.rels>&#65279;<?xml version="1.0" encoding="utf-8"?><Relationships xmlns="http://schemas.openxmlformats.org/package/2006/relationships"><Relationship Type="http://schemas.openxmlformats.org/officeDocument/2006/relationships/image" Target="/media/image.png" Id="Racae469d8a684da2" /></Relationships>
</file>