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37e3b96ca458b"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physiotherapist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physiotherapist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1bc2e19594ec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physiotherapist,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d58f3b83e04843">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d5b31c1118461a">
              <w:r>
                <w:rPr>
                  <w:rStyle w:val="Hyperlink"/>
                </w:rPr>
                <w:t xml:space="preserve">Work setting of registered physiotherapist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 </w:t>
            </w:r>
          </w:p>
        </w:tc>
        <w:tc>
          <w:tcPr>
            <w:tcBorders>
              <w:top w:val="none" w:color="000000" w:sz="0"/>
              <w:left w:val="none" w:color="000000" w:sz="0"/>
              <w:bottom w:val="none" w:color="000000" w:sz="0"/>
              <w:right w:val="none" w:color="000000" w:sz="0"/>
            </w:tcBorders>
            <w:vAlign w:val="top"/>
          </w:tcPr>
          <w:p>
            <w:r>
              <w:t xml:space="preserve">Domiciliary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C01   DOMICILIARY SERVICE </w:t>
            </w:r>
          </w:p>
          <w:p>
            <w:pPr>
              <w:spacing w:after="160"/>
            </w:pPr>
            <w:r>
              <w:rPr>
                <w:rStyle w:val="row-content-rich-text"/>
              </w:rPr>
              <w:t xml:space="preserve">Domiciliary service includes all services primarily providing nursing or other professional paramedical care or treatment and non-qualified domestic assistance to people in their own homes.</w:t>
            </w:r>
          </w:p>
          <w:p>
            <w:pPr>
              <w:spacing w:after="160"/>
            </w:pPr>
            <w:r>
              <w:rPr>
                <w:rStyle w:val="row-content-rich-text"/>
              </w:rPr>
              <w:t xml:space="preserve">CODE C06   REHABILITATION/PHYSICAL DEVELOPMENT SERVICE </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SERVICES</w:t>
            </w:r>
          </w:p>
          <w:p>
            <w:pPr>
              <w:spacing w:after="160"/>
            </w:pPr>
            <w:r>
              <w:rPr>
                <w:rStyle w:val="row-content-rich-text"/>
              </w:rPr>
              <w:t xml:space="preserve">Other community health care services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SERVICE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cabeca8a3b42ab">
              <w:r>
                <w:rPr>
                  <w:rStyle w:val="Hyperlink"/>
                </w:rPr>
                <w:t xml:space="preserve">Main job of registered physiotherapist cluster</w:t>
              </w:r>
            </w:hyperlink>
          </w:p>
          <w:p>
            <w:pPr>
              <w:pStyle w:val="registration-status"/>
              <w:spacing w:before="0" w:after="0"/>
            </w:pPr>
            <w:hyperlink w:history="true" r:id="Rb99d29a251ff4328">
              <w:r>
                <w:rPr>
                  <w:rStyle w:val="Hyperlink"/>
                  <w:color w:val="244061"/>
                </w:rPr>
                <w:t xml:space="preserve">Health!</w:t>
              </w:r>
            </w:hyperlink>
            <w:r>
              <w:rPr>
                <w:rStyle w:val="row-content"/>
                <w:color w:val="244061"/>
              </w:rPr>
              <w:t xml:space="preserve">, Standard 10/12/2009</w:t>
            </w:r>
          </w:p>
          <w:p>
            <w:r>
              <w:br/>
            </w:r>
            <w:hyperlink w:history="true" r:id="Rce53cfcbbcd84a2f">
              <w:r>
                <w:rPr>
                  <w:rStyle w:val="Hyperlink"/>
                </w:rPr>
                <w:t xml:space="preserve">Second job of registered physiotherapist cluster</w:t>
              </w:r>
            </w:hyperlink>
          </w:p>
          <w:p>
            <w:pPr>
              <w:pStyle w:val="registration-status"/>
              <w:spacing w:before="0" w:after="0"/>
            </w:pPr>
            <w:hyperlink w:history="true" r:id="Rc4712c99bcc04fb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270829bfef4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2d6a56b7c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0829bfef4480a" /><Relationship Type="http://schemas.openxmlformats.org/officeDocument/2006/relationships/header" Target="/word/header1.xml" Id="Ra5950483a0ce44a4" /><Relationship Type="http://schemas.openxmlformats.org/officeDocument/2006/relationships/settings" Target="/word/settings.xml" Id="Re08445d9ca4e4ddd" /><Relationship Type="http://schemas.openxmlformats.org/officeDocument/2006/relationships/styles" Target="/word/styles.xml" Id="Ra50c29bf59fa4ae4" /><Relationship Type="http://schemas.openxmlformats.org/officeDocument/2006/relationships/hyperlink" Target="https://meteor-uat.aihw.gov.au/RegistrationAuthority/14" TargetMode="External" Id="Re021bc2e19594ec5" /><Relationship Type="http://schemas.openxmlformats.org/officeDocument/2006/relationships/hyperlink" Target="https://meteor-uat.aihw.gov.au/content/375400" TargetMode="External" Id="R41d58f3b83e04843" /><Relationship Type="http://schemas.openxmlformats.org/officeDocument/2006/relationships/hyperlink" Target="https://meteor-uat.aihw.gov.au/content/377831" TargetMode="External" Id="Rffd5b31c1118461a" /><Relationship Type="http://schemas.openxmlformats.org/officeDocument/2006/relationships/hyperlink" Target="https://meteor-uat.aihw.gov.au/content/383995" TargetMode="External" Id="R6acabeca8a3b42ab" /><Relationship Type="http://schemas.openxmlformats.org/officeDocument/2006/relationships/hyperlink" Target="https://meteor-uat.aihw.gov.au/RegistrationAuthority/14" TargetMode="External" Id="Rb99d29a251ff4328" /><Relationship Type="http://schemas.openxmlformats.org/officeDocument/2006/relationships/hyperlink" Target="https://meteor-uat.aihw.gov.au/content/384030" TargetMode="External" Id="Rce53cfcbbcd84a2f" /><Relationship Type="http://schemas.openxmlformats.org/officeDocument/2006/relationships/hyperlink" Target="https://meteor-uat.aihw.gov.au/RegistrationAuthority/14" TargetMode="External" Id="Rc4712c99bcc04fbd" /></Relationships>
</file>

<file path=word/_rels/header1.xml.rels>&#65279;<?xml version="1.0" encoding="utf-8"?><Relationships xmlns="http://schemas.openxmlformats.org/package/2006/relationships"><Relationship Type="http://schemas.openxmlformats.org/officeDocument/2006/relationships/image" Target="/media/image.png" Id="R3a42d6a56b7c4d91" /></Relationships>
</file>