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f7f9478c9d4b7f" /></Relationships>
</file>

<file path=word/document.xml><?xml version="1.0" encoding="utf-8"?>
<w:document xmlns:r="http://schemas.openxmlformats.org/officeDocument/2006/relationships" xmlns:w="http://schemas.openxmlformats.org/wordprocessingml/2006/main">
  <w:body>
    <w:p>
      <w:pPr>
        <w:pStyle w:val="Title"/>
      </w:pPr>
      <w:r>
        <w:t>Work setting of medical practitioner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 setting of medical practitioner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cfffa3f3254927">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work setting of a medical practitioner.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Solo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Group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C02</w:t>
            </w:r>
          </w:p>
        </w:tc>
        <w:tc>
          <w:tcPr>
            <w:tcBorders>
              <w:top w:val="none" w:color="000000" w:sz="0"/>
              <w:left w:val="none" w:color="000000" w:sz="0"/>
              <w:bottom w:val="none" w:color="000000" w:sz="0"/>
              <w:right w:val="none" w:color="000000" w:sz="0"/>
            </w:tcBorders>
            <w:vAlign w:val="top"/>
          </w:tcPr>
          <w:p>
            <w:r>
              <w:t xml:space="preserve">Community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C03</w:t>
            </w:r>
          </w:p>
        </w:tc>
        <w:tc>
          <w:tcPr>
            <w:tcBorders>
              <w:top w:val="none" w:color="000000" w:sz="0"/>
              <w:left w:val="none" w:color="000000" w:sz="0"/>
              <w:bottom w:val="none" w:color="000000" w:sz="0"/>
              <w:right w:val="none" w:color="000000" w:sz="0"/>
            </w:tcBorders>
            <w:vAlign w:val="top"/>
          </w:tcPr>
          <w:p>
            <w:r>
              <w:t xml:space="preserve">Community drug and alcohol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Other community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D01</w:t>
            </w:r>
          </w:p>
        </w:tc>
        <w:tc>
          <w:tcPr>
            <w:tcBorders>
              <w:top w:val="none" w:color="000000" w:sz="0"/>
              <w:left w:val="none" w:color="000000" w:sz="0"/>
              <w:bottom w:val="none" w:color="000000" w:sz="0"/>
              <w:right w:val="none" w:color="000000" w:sz="0"/>
            </w:tcBorders>
            <w:vAlign w:val="top"/>
          </w:tcPr>
          <w:p>
            <w:r>
              <w:t xml:space="preserve">Outpatient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D02</w:t>
            </w:r>
          </w:p>
        </w:tc>
        <w:tc>
          <w:tcPr>
            <w:tcBorders>
              <w:top w:val="none" w:color="000000" w:sz="0"/>
              <w:left w:val="none" w:color="000000" w:sz="0"/>
              <w:bottom w:val="none" w:color="000000" w:sz="0"/>
              <w:right w:val="none" w:color="000000" w:sz="0"/>
            </w:tcBorders>
            <w:vAlign w:val="top"/>
          </w:tcPr>
          <w:p>
            <w:r>
              <w:t xml:space="preserve">Other hospital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E02</w:t>
            </w:r>
          </w:p>
        </w:tc>
        <w:tc>
          <w:tcPr>
            <w:tcBorders>
              <w:top w:val="none" w:color="000000" w:sz="0"/>
              <w:left w:val="none" w:color="000000" w:sz="0"/>
              <w:bottom w:val="none" w:color="000000" w:sz="0"/>
              <w:right w:val="none" w:color="000000" w:sz="0"/>
            </w:tcBorders>
            <w:vAlign w:val="top"/>
          </w:tcPr>
          <w:p>
            <w:r>
              <w:t xml:space="preserve">Residential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E05</w:t>
            </w:r>
          </w:p>
        </w:tc>
        <w:tc>
          <w:tcPr>
            <w:tcBorders>
              <w:top w:val="none" w:color="000000" w:sz="0"/>
              <w:left w:val="none" w:color="000000" w:sz="0"/>
              <w:bottom w:val="none" w:color="000000" w:sz="0"/>
              <w:right w:val="none" w:color="000000" w:sz="0"/>
            </w:tcBorders>
            <w:vAlign w:val="top"/>
          </w:tcPr>
          <w:p>
            <w:r>
              <w:t xml:space="preserve">Other 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F00</w:t>
            </w:r>
          </w:p>
        </w:tc>
        <w:tc>
          <w:tcPr>
            <w:tcBorders>
              <w:top w:val="none" w:color="000000" w:sz="0"/>
              <w:left w:val="none" w:color="000000" w:sz="0"/>
              <w:bottom w:val="none" w:color="000000" w:sz="0"/>
              <w:right w:val="none" w:color="000000" w:sz="0"/>
            </w:tcBorders>
            <w:vAlign w:val="top"/>
          </w:tcPr>
          <w:p>
            <w:r>
              <w:t xml:space="preserve">Commercial/business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G01</w:t>
            </w:r>
          </w:p>
        </w:tc>
        <w:tc>
          <w:tcPr>
            <w:tcBorders>
              <w:top w:val="none" w:color="000000" w:sz="0"/>
              <w:left w:val="none" w:color="000000" w:sz="0"/>
              <w:bottom w:val="none" w:color="000000" w:sz="0"/>
              <w:right w:val="none" w:color="000000" w:sz="0"/>
            </w:tcBorders>
            <w:vAlign w:val="top"/>
          </w:tcPr>
          <w:p>
            <w:r>
              <w:t xml:space="preserve">Tertiary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G02</w:t>
            </w:r>
          </w:p>
        </w:tc>
        <w:tc>
          <w:tcPr>
            <w:tcBorders>
              <w:top w:val="none" w:color="000000" w:sz="0"/>
              <w:left w:val="none" w:color="000000" w:sz="0"/>
              <w:bottom w:val="none" w:color="000000" w:sz="0"/>
              <w:right w:val="none" w:color="000000" w:sz="0"/>
            </w:tcBorders>
            <w:vAlign w:val="top"/>
          </w:tcPr>
          <w:p>
            <w:r>
              <w:t xml:space="preserv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G03</w:t>
            </w:r>
          </w:p>
        </w:tc>
        <w:tc>
          <w:tcPr>
            <w:tcBorders>
              <w:top w:val="none" w:color="000000" w:sz="0"/>
              <w:left w:val="none" w:color="000000" w:sz="0"/>
              <w:bottom w:val="none" w:color="000000" w:sz="0"/>
              <w:right w:val="none" w:color="000000" w:sz="0"/>
            </w:tcBorders>
            <w:vAlign w:val="top"/>
          </w:tcPr>
          <w:p>
            <w:r>
              <w:t xml:space="preserve">Other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A01   SOLO PRIVATE PRACTICE </w:t>
            </w:r>
          </w:p>
          <w:p>
            <w:pPr>
              <w:spacing w:after="160"/>
            </w:pPr>
            <w:r>
              <w:rPr>
                <w:rStyle w:val="row-content-rich-text"/>
              </w:rPr>
              <w:t xml:space="preserve">Solo private practice includes all private practices owned and operated by a single health practitioner, excluding locum practices.</w:t>
            </w:r>
          </w:p>
          <w:p>
            <w:pPr>
              <w:spacing w:after="160"/>
            </w:pPr>
            <w:r>
              <w:rPr>
                <w:rStyle w:val="row-content-rich-text"/>
              </w:rPr>
              <w:t xml:space="preserve">CODE A02   GROUP PRIVATE PRACTICE </w:t>
            </w:r>
          </w:p>
          <w:p>
            <w:pPr>
              <w:spacing w:after="160"/>
            </w:pPr>
            <w:r>
              <w:rPr>
                <w:rStyle w:val="row-content-rich-text"/>
              </w:rPr>
              <w:t xml:space="preserve">Group private practice includes all private practices owned and operated by a partnership of more than one health practitioner excluding locum practices.</w:t>
            </w:r>
          </w:p>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C02   COMMUNITY MENTAL HEALTH SERVICE </w:t>
            </w:r>
          </w:p>
          <w:p>
            <w:pPr>
              <w:spacing w:after="160"/>
            </w:pPr>
            <w:r>
              <w:rPr>
                <w:rStyle w:val="row-content-rich-text"/>
              </w:rPr>
              <w:t xml:space="preserve">Community mental health service includes all non-residential health care services that engage primarily in mental health care.</w:t>
            </w:r>
          </w:p>
          <w:p>
            <w:pPr>
              <w:spacing w:after="160"/>
            </w:pPr>
            <w:r>
              <w:rPr>
                <w:rStyle w:val="row-content-rich-text"/>
              </w:rPr>
              <w:t xml:space="preserve">CODE C03   COMMUNITY DRUG AND ALCOHOL SERVICE </w:t>
            </w:r>
          </w:p>
          <w:p>
            <w:pPr>
              <w:spacing w:after="160"/>
            </w:pPr>
            <w:r>
              <w:rPr>
                <w:rStyle w:val="row-content-rich-text"/>
              </w:rPr>
              <w:t xml:space="preserve">Community drug and alcohol service includes all non-residential health care services that engage primarily in drug and alcohol treatment.</w:t>
            </w:r>
          </w:p>
          <w:p>
            <w:pPr>
              <w:spacing w:after="160"/>
            </w:pPr>
            <w:r>
              <w:rPr>
                <w:rStyle w:val="row-content-rich-text"/>
              </w:rPr>
              <w:t xml:space="preserve">CODE C07   OTHER COMMUNITY HEALTH CARE SERVICES </w:t>
            </w:r>
          </w:p>
          <w:p>
            <w:pPr>
              <w:spacing w:after="160"/>
            </w:pPr>
            <w:r>
              <w:rPr>
                <w:rStyle w:val="row-content-rich-text"/>
              </w:rPr>
              <w:t xml:space="preserve">Other community health care service includes all non-residential health care services not mentioned above.</w:t>
            </w:r>
          </w:p>
          <w:p>
            <w:pPr>
              <w:spacing w:after="160"/>
            </w:pPr>
            <w:r>
              <w:rPr>
                <w:rStyle w:val="row-content-rich-text"/>
              </w:rPr>
              <w:t xml:space="preserve">CODE D01   OUTPATIENT SERVICES </w:t>
            </w:r>
          </w:p>
          <w:p>
            <w:pPr>
              <w:spacing w:after="160"/>
            </w:pPr>
            <w:r>
              <w:rPr>
                <w:rStyle w:val="row-content-rich-text"/>
              </w:rPr>
              <w:t xml:space="preserve">Outpatient services include all hospital-based clinics that provide specialist outpatient services to non-admitted, non-emergency department patients.</w:t>
            </w:r>
          </w:p>
          <w:p>
            <w:pPr>
              <w:spacing w:after="160"/>
            </w:pPr>
            <w:r>
              <w:rPr>
                <w:rStyle w:val="row-content-rich-text"/>
              </w:rPr>
              <w:t xml:space="preserve">CODE D02   OTHER HOSPITAL SERVICE </w:t>
            </w:r>
          </w:p>
          <w:p>
            <w:pPr>
              <w:spacing w:after="160"/>
            </w:pPr>
            <w:r>
              <w:rPr>
                <w:rStyle w:val="row-content-rich-text"/>
              </w:rPr>
              <w:t xml:space="preserve">This category includes all other hospital services including acute care, psychiatric and dental hospitals, as well as emergency departments. It excludes hospitals provided by Defence Department</w:t>
            </w:r>
          </w:p>
          <w:p>
            <w:pPr>
              <w:spacing w:after="160"/>
            </w:pPr>
            <w:r>
              <w:rPr>
                <w:rStyle w:val="row-content-rich-text"/>
              </w:rPr>
              <w:t xml:space="preserve">CODE E02   RESIDENTIAL MENTAL HEALTH CARE SERVICES </w:t>
            </w:r>
          </w:p>
          <w:p>
            <w:pPr>
              <w:spacing w:after="160"/>
            </w:pPr>
            <w:r>
              <w:rPr>
                <w:rStyle w:val="row-content-rich-text"/>
              </w:rPr>
              <w:t xml:space="preserve">Residential mental health care services include all residential health care services that primarily engage in the delivery of specialist mental health care.</w:t>
            </w:r>
          </w:p>
          <w:p>
            <w:pPr>
              <w:spacing w:after="160"/>
            </w:pPr>
            <w:r>
              <w:rPr>
                <w:rStyle w:val="row-content-rich-text"/>
              </w:rPr>
              <w:t xml:space="preserve">CODE E05   OTHER RESIDENTIAL HEALTH CARE FACILITY </w:t>
            </w:r>
          </w:p>
          <w:p>
            <w:pPr>
              <w:spacing w:after="160"/>
            </w:pPr>
            <w:r>
              <w:rPr>
                <w:rStyle w:val="row-content-rich-text"/>
              </w:rPr>
              <w:t xml:space="preserve">This category includes all other residential health care facilities not specified above.</w:t>
            </w:r>
          </w:p>
          <w:p>
            <w:pPr>
              <w:spacing w:after="160"/>
            </w:pPr>
            <w:r>
              <w:rPr>
                <w:rStyle w:val="row-content-rich-text"/>
              </w:rPr>
              <w:t xml:space="preserve">CODE F00   COMMERCIAL/BUSINESS SERVICES </w:t>
            </w:r>
          </w:p>
          <w:p>
            <w:pPr>
              <w:spacing w:after="160"/>
            </w:pPr>
            <w:r>
              <w:rPr>
                <w:rStyle w:val="row-content-rich-text"/>
              </w:rPr>
              <w:t xml:space="preserve">Commercial/business includes insurance providers, pathology laboratories, banks and pharmaceutical manufacturers, wholesalers and retailers. This category excludes private practices</w:t>
            </w:r>
          </w:p>
          <w:p>
            <w:pPr>
              <w:spacing w:after="160"/>
            </w:pPr>
            <w:r>
              <w:rPr>
                <w:rStyle w:val="row-content-rich-text"/>
              </w:rPr>
              <w:t xml:space="preserve">CODE G01   TERTIARY EDUCATIONAL FACILITY</w:t>
            </w:r>
          </w:p>
          <w:p>
            <w:pPr>
              <w:spacing w:after="160"/>
            </w:pPr>
            <w:r>
              <w:rPr>
                <w:rStyle w:val="row-content-rich-text"/>
              </w:rPr>
              <w:t xml:space="preserve">Tertiary educational facility includes all educational institutions mainly engaged in providing undergraduate or postgraduate teaching, or vocational education and training. </w:t>
            </w:r>
          </w:p>
          <w:p>
            <w:pPr>
              <w:spacing w:after="160"/>
            </w:pPr>
            <w:r>
              <w:rPr>
                <w:rStyle w:val="row-content-rich-text"/>
              </w:rPr>
              <w:t xml:space="preserve">CODE G02   SCHOOL </w:t>
            </w:r>
          </w:p>
          <w:p>
            <w:pPr>
              <w:spacing w:after="160"/>
            </w:pPr>
            <w:r>
              <w:rPr>
                <w:rStyle w:val="row-content-rich-text"/>
              </w:rPr>
              <w:t xml:space="preserve">Schools include all pre-primary, primary and secondary schools.</w:t>
            </w:r>
          </w:p>
          <w:p>
            <w:pPr>
              <w:spacing w:after="160"/>
            </w:pPr>
            <w:r>
              <w:rPr>
                <w:rStyle w:val="row-content-rich-text"/>
              </w:rPr>
              <w:t xml:space="preserve">CODE G03   OTHER EDUCATIONAL FACILITY </w:t>
            </w:r>
          </w:p>
          <w:p>
            <w:pPr>
              <w:spacing w:after="160"/>
            </w:pPr>
            <w:r>
              <w:rPr>
                <w:rStyle w:val="row-content-rich-text"/>
              </w:rPr>
              <w:t xml:space="preserve">Other educational facility includes all organisations primarily involved in the delivery of education and training but not mentioned above.</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 </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w:t>
            </w:r>
          </w:p>
          <w:p>
            <w:pPr>
              <w:spacing w:after="160"/>
            </w:pPr>
            <w:r>
              <w:rPr>
                <w:rStyle w:val="row-content-rich-text"/>
              </w:rPr>
              <w:t xml:space="preserve">Other includes all organisations not specified above.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b41e5bf5e704acb">
              <w:r>
                <w:rPr>
                  <w:rStyle w:val="Hyperlink"/>
                </w:rPr>
                <w:t xml:space="preserve">Registered health professional—work setting, medical practitioner code ANN</w:t>
              </w:r>
            </w:hyperlink>
          </w:p>
          <w:p>
            <w:pPr>
              <w:pStyle w:val="registration-status"/>
              <w:spacing w:before="0" w:after="0"/>
            </w:pPr>
            <w:hyperlink w:history="true" r:id="Rb9436f19d0a64e42">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4f35486847ee4b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377812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ab31a63bee47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35486847ee4bda" /><Relationship Type="http://schemas.openxmlformats.org/officeDocument/2006/relationships/header" Target="/word/header1.xml" Id="Rf707a9dcccf74316" /><Relationship Type="http://schemas.openxmlformats.org/officeDocument/2006/relationships/settings" Target="/word/settings.xml" Id="R06e0f597efe5441a" /><Relationship Type="http://schemas.openxmlformats.org/officeDocument/2006/relationships/styles" Target="/word/styles.xml" Id="R81272d8186264526" /><Relationship Type="http://schemas.openxmlformats.org/officeDocument/2006/relationships/hyperlink" Target="https://meteor-uat.aihw.gov.au/RegistrationAuthority/14" TargetMode="External" Id="R55cfffa3f3254927" /><Relationship Type="http://schemas.openxmlformats.org/officeDocument/2006/relationships/hyperlink" Target="https://meteor-uat.aihw.gov.au/content/377814" TargetMode="External" Id="R2b41e5bf5e704acb" /><Relationship Type="http://schemas.openxmlformats.org/officeDocument/2006/relationships/hyperlink" Target="https://meteor-uat.aihw.gov.au/RegistrationAuthority/14" TargetMode="External" Id="Rb9436f19d0a64e42" /></Relationships>
</file>

<file path=word/_rels/header1.xml.rels>&#65279;<?xml version="1.0" encoding="utf-8"?><Relationships xmlns="http://schemas.openxmlformats.org/package/2006/relationships"><Relationship Type="http://schemas.openxmlformats.org/officeDocument/2006/relationships/image" Target="/media/image.png" Id="R60ab31a63bee47fa" /></Relationships>
</file>