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dea538b8634607" /></Relationships>
</file>

<file path=word/document.xml><?xml version="1.0" encoding="utf-8"?>
<w:document xmlns:r="http://schemas.openxmlformats.org/officeDocument/2006/relationships" xmlns:w="http://schemas.openxmlformats.org/wordprocessingml/2006/main">
  <w:body>
    <w:p>
      <w:pPr>
        <w:pStyle w:val="Title"/>
      </w:pPr>
      <w:r>
        <w:t>Cardiovascular disease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c7bcd72cec48c9">
              <w:r>
                <w:rPr>
                  <w:rStyle w:val="Hyperlink"/>
                  <w:color w:val="244061"/>
                </w:rPr>
                <w:t xml:space="preserve">Health!</w:t>
              </w:r>
            </w:hyperlink>
            <w:r>
              <w:rPr>
                <w:rStyle w:val="row-content"/>
                <w:color w:val="244061"/>
              </w:rPr>
              <w:t xml:space="preserve">, Superseded 01/09/2012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cardiovascular data (CV-Data) in this metadata set is voluntary.</w:t>
            </w:r>
          </w:p>
          <w:p>
            <w:pPr>
              <w:spacing w:after="160"/>
            </w:pPr>
            <w:r>
              <w:rPr>
                <w:rStyle w:val="row-content-rich-text"/>
              </w:rPr>
              <w:t xml:space="preserve">The definitions used in CV-Data are designed to underpin the data collected by health professionals in their day-to-day practice. They relate to the realities of a clinical consultation and the ongoing nature of care and relationships that are formed between doctors and patients in clinical practice.</w:t>
            </w:r>
          </w:p>
          <w:p>
            <w:pPr>
              <w:spacing w:after="160"/>
            </w:pPr>
            <w:r>
              <w:rPr>
                <w:rStyle w:val="row-content-rich-text"/>
              </w:rPr>
              <w:t xml:space="preserve">The data elements specified in this metadata set provide a framework for:</w:t>
            </w:r>
          </w:p>
          <w:p>
            <w:pPr>
              <w:pStyle w:val="ListParagraph"/>
              <w:numPr>
                <w:ilvl w:val="0"/>
                <w:numId w:val="2"/>
              </w:numPr>
            </w:pPr>
            <w:r>
              <w:rPr>
                <w:rStyle w:val="row-content-rich-text"/>
              </w:rPr>
              <w:t xml:space="preserve">promoting the delivery of high quality cardiovascular disease preventive and management care to patients,</w:t>
            </w:r>
          </w:p>
          <w:p>
            <w:pPr>
              <w:pStyle w:val="ListParagraph"/>
              <w:numPr>
                <w:ilvl w:val="0"/>
                <w:numId w:val="2"/>
              </w:numPr>
            </w:pPr>
            <w:r>
              <w:rPr>
                <w:rStyle w:val="row-content-rich-text"/>
              </w:rPr>
              <w:t xml:space="preserve">facilitating ongoing improvement in the quality of cardiovascular and chronic disease care predominantly in primary care and other community settings in Australia, and</w:t>
            </w:r>
          </w:p>
          <w:p>
            <w:pPr>
              <w:pStyle w:val="ListParagraph"/>
              <w:numPr>
                <w:ilvl w:val="0"/>
                <w:numId w:val="2"/>
              </w:numPr>
            </w:pPr>
            <w:r>
              <w:rPr>
                <w:rStyle w:val="row-content-rich-text"/>
              </w:rPr>
              <w:t xml:space="preserve">supporting general practice and other primary care services as they develop information systems to complement the above.</w:t>
            </w:r>
          </w:p>
          <w:p>
            <w:pPr>
              <w:spacing w:after="160"/>
            </w:pPr>
            <w:r>
              <w:rPr>
                <w:rStyle w:val="row-content-rich-text"/>
              </w:rPr>
              <w:t xml:space="preserve">This is particularly important as general practice is the setting in which chronic disease prevention and management predominantly takes place. Having a nationally recognised set of definitions in relation to defining a patient's cardiovascular behavioural, social and biological risk factors, and their prevention and management status for use in these clinical settings, is a prerequisite to achieving these aims.</w:t>
            </w:r>
          </w:p>
          <w:p>
            <w:pPr>
              <w:spacing w:after="160"/>
            </w:pPr>
            <w:r>
              <w:rPr>
                <w:rStyle w:val="row-content-rich-text"/>
              </w:rPr>
              <w:t xml:space="preserve">Many of the data elements in this metadata set are also used in the collection of diabetes clinical information.</w:t>
            </w:r>
          </w:p>
          <w:p>
            <w:pPr/>
            <w:r>
              <w:rPr>
                <w:rStyle w:val="row-content-rich-text"/>
              </w:rPr>
              <w:t xml:space="preserve">Where appropriate, it may be useful if the data definitions in this metadata set were used to address data definition needs for use in non-clinical environments such as public health surveys etc. This could allow for qualitative comparisons between data collected in, and aggregated from clinical settings (i.e. using application of CV-Data), with that collected through other means (e.g. public health surveys).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set is primarily concerned with the clinical use of CV-data. It could also be used by a wider range of health and health related establishments that create, use or maintain records on health 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7ecab272b846a2">
              <w:r>
                <w:rPr>
                  <w:rStyle w:val="Hyperlink"/>
                </w:rPr>
                <w:t xml:space="preserve">Cardiovascular disease (clinical) DSS</w:t>
              </w:r>
            </w:hyperlink>
          </w:p>
          <w:p>
            <w:pPr>
              <w:pStyle w:val="registration-status"/>
              <w:spacing w:before="0" w:after="0"/>
            </w:pPr>
            <w:hyperlink w:history="true" r:id="Rfaa5e8670c824244">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09f3b70b456f45f2">
              <w:r>
                <w:rPr>
                  <w:rStyle w:val="Hyperlink"/>
                </w:rPr>
                <w:t xml:space="preserve">Cardiovascular disease (clinical) NBPDS</w:t>
              </w:r>
            </w:hyperlink>
          </w:p>
          <w:p>
            <w:pPr>
              <w:pStyle w:val="registration-status"/>
              <w:spacing w:before="0" w:after="0"/>
            </w:pPr>
            <w:hyperlink w:history="true" r:id="Rea323094265446ad">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47dd2c4bdb4b22">
                    <w:r>
                      <w:rPr>
                        <w:rStyle w:val="Hyperlink"/>
                      </w:rPr>
                      <w:t xml:space="preserve">Division of general practice—organisation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98e564415e47f6">
                    <w:r>
                      <w:rPr>
                        <w:rStyle w:val="Hyperlink"/>
                      </w:rPr>
                      <w:t xml:space="preserve">Episode of care—behaviour-related risk factor intervention purpose, code N</w:t>
                    </w:r>
                  </w:hyperlink>
                </w:p>
                <w:p>
                  <w:r>
                    <w:rPr>
                      <w:b/>
                      <w:i/>
                      <w:color w:val="333333"/>
                    </w:rPr>
                    <w:t xml:space="preserve">DSS specific information:</w:t>
                  </w:r>
                </w:p>
                <w:p>
                  <w: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t xml:space="preserve">Smoking, Nutrition, Alcohol, Physical Activity (SNAP) initiative:</w:t>
                  </w:r>
                </w:p>
                <w:p>
                  <w:r>
                    <w:t xml:space="preserve">SNAP Framework for General Practice is an initiative of the Joint Advisory Group (JAG) on General Practice and Population Health.</w:t>
                  </w:r>
                </w:p>
                <w:p>
                  <w: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t xml:space="preserve">general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b3c70f45f4196">
                    <w:r>
                      <w:rPr>
                        <w:rStyle w:val="Hyperlink"/>
                      </w:rPr>
                      <w:t xml:space="preserve">Episode of care—behaviour-related risk factor intervention,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9b176217e9421f">
                    <w:r>
                      <w:rPr>
                        <w:rStyle w:val="Hyperlink"/>
                      </w:rPr>
                      <w:t xml:space="preserve">Health service event—fasting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cbb88b1d4c496a">
                    <w:r>
                      <w:rPr>
                        <w:rStyle w:val="Hyperlink"/>
                      </w:rPr>
                      <w:t xml:space="preserve">Health service event—referral to rehabilitation service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b283cda1944b07">
                    <w:r>
                      <w:rPr>
                        <w:rStyle w:val="Hyperlink"/>
                      </w:rPr>
                      <w:t xml:space="preserve">Patient—diagnosis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07b9951583420e">
                    <w:r>
                      <w:rPr>
                        <w:rStyle w:val="Hyperlink"/>
                      </w:rPr>
                      <w:t xml:space="preserve">Person (address)—Australian postcode, code (Postcode datafile) {NNNN}</w:t>
                    </w:r>
                  </w:hyperlink>
                </w:p>
                <w:p>
                  <w:r>
                    <w:rPr>
                      <w:b/>
                      <w:i/>
                      <w:color w:val="333333"/>
                    </w:rPr>
                    <w:t xml:space="preserve">DSS specific information:</w:t>
                  </w:r>
                </w:p>
                <w:p>
                  <w: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t xml:space="preserve">This difference in death rates has existed since at least the 1970s.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2f67afae454fa8">
                    <w:r>
                      <w:rPr>
                        <w:rStyle w:val="Hyperlink"/>
                      </w:rPr>
                      <w:t xml:space="preserve">Person—alcohol consumption amount (self-reported), total standard drinks NN</w:t>
                    </w:r>
                  </w:hyperlink>
                </w:p>
                <w:p>
                  <w:r>
                    <w:rPr>
                      <w:b/>
                      <w:i/>
                      <w:color w:val="333333"/>
                    </w:rPr>
                    <w:t xml:space="preserve">DSS specific information:</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3"/>
                    </w:numPr>
                  </w:pPr>
                  <w:r>
                    <w:t xml:space="preserve">social problems such as domestic violence, unsafe sex, </w:t>
                  </w:r>
                </w:p>
                <w:p>
                  <w:pPr>
                    <w:pStyle w:val="ListParagraph"/>
                    <w:numPr>
                      <w:ilvl w:val="0"/>
                      <w:numId w:val="3"/>
                    </w:numPr>
                  </w:pPr>
                  <w:r>
                    <w:t xml:space="preserve">financial and relationship problems, </w:t>
                  </w:r>
                </w:p>
                <w:p>
                  <w:pPr>
                    <w:pStyle w:val="ListParagraph"/>
                    <w:numPr>
                      <w:ilvl w:val="0"/>
                      <w:numId w:val="3"/>
                    </w:numPr>
                  </w:pPr>
                  <w:r>
                    <w:t xml:space="preserve">physical conditions such as high blood pressure, gastrointestinal problems, pancreatitis, </w:t>
                  </w:r>
                </w:p>
                <w:p>
                  <w:pPr>
                    <w:pStyle w:val="ListParagraph"/>
                    <w:numPr>
                      <w:ilvl w:val="0"/>
                      <w:numId w:val="3"/>
                    </w:numPr>
                  </w:pPr>
                  <w:r>
                    <w:t xml:space="preserve">an increased risk of physical injury.</w:t>
                  </w:r>
                </w:p>
                <w:p>
                  <w:pPr>
                    <w:pStyle w:val="ListParagraph"/>
                    <w:numPr>
                      <w:ilvl w:val="0"/>
                      <w:numId w:val="3"/>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47aa0bdce848a9">
                    <w:r>
                      <w:rPr>
                        <w:rStyle w:val="Hyperlink"/>
                      </w:rPr>
                      <w:t xml:space="preserve">Person—alcohol consumption frequency (self-reported), code NN</w:t>
                    </w:r>
                  </w:hyperlink>
                </w:p>
                <w:p>
                  <w:r>
                    <w:rPr>
                      <w:b/>
                      <w:i/>
                      <w:color w:val="333333"/>
                    </w:rPr>
                    <w:t xml:space="preserve">DSS specific information:</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4"/>
                    </w:numPr>
                  </w:pPr>
                  <w:r>
                    <w:t xml:space="preserve">social problems such as domestic violence, unsafe sex,</w:t>
                  </w:r>
                </w:p>
                <w:p>
                  <w:pPr>
                    <w:pStyle w:val="ListParagraph"/>
                    <w:numPr>
                      <w:ilvl w:val="0"/>
                      <w:numId w:val="4"/>
                    </w:numPr>
                  </w:pPr>
                  <w:r>
                    <w:t xml:space="preserve">financial and relationship problems,</w:t>
                  </w:r>
                </w:p>
                <w:p>
                  <w:pPr>
                    <w:pStyle w:val="ListParagraph"/>
                    <w:numPr>
                      <w:ilvl w:val="0"/>
                      <w:numId w:val="4"/>
                    </w:numPr>
                  </w:pPr>
                  <w:r>
                    <w:t xml:space="preserve">physical conditions such as high blood pressure, gastrointestinal problems, pancreatitis,</w:t>
                  </w:r>
                </w:p>
                <w:p>
                  <w:pPr>
                    <w:pStyle w:val="ListParagraph"/>
                    <w:numPr>
                      <w:ilvl w:val="0"/>
                      <w:numId w:val="4"/>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5"/>
                    </w:numPr>
                  </w:pPr>
                  <w:r>
                    <w:t xml:space="preserve">are on medication,</w:t>
                  </w:r>
                </w:p>
                <w:p>
                  <w:pPr>
                    <w:pStyle w:val="ListParagraph"/>
                    <w:numPr>
                      <w:ilvl w:val="0"/>
                      <w:numId w:val="5"/>
                    </w:numPr>
                  </w:pPr>
                  <w:r>
                    <w:t xml:space="preserve">are under 18 years of age,</w:t>
                  </w:r>
                </w:p>
                <w:p>
                  <w:pPr>
                    <w:pStyle w:val="ListParagraph"/>
                    <w:numPr>
                      <w:ilvl w:val="0"/>
                      <w:numId w:val="5"/>
                    </w:numPr>
                  </w:pPr>
                  <w:r>
                    <w:t xml:space="preserve">are pregnant,</w:t>
                  </w:r>
                </w:p>
                <w:p>
                  <w:pPr>
                    <w:pStyle w:val="ListParagraph"/>
                    <w:numPr>
                      <w:ilvl w:val="0"/>
                      <w:numId w:val="5"/>
                    </w:numPr>
                  </w:pPr>
                  <w:r>
                    <w:t xml:space="preserve">are about to engage in activities involving risk or a degree of skill (e.g. driving, flying, water sports, skiing, operating machinery). </w:t>
                  </w:r>
                </w:p>
                <w:p>
                  <w:r>
                    <w:t xml:space="preserve"> </w:t>
                  </w:r>
                </w:p>
                <w:tbl>
                  <w:tblPr>
                    <w:tblStyle w:val="InnerTable"/>
                    <w:tblW w:w="0" w:type="auto"/>
                  </w:tblPr>
                  <w:tblGrid>
                    <w:gridCol/>
                    <w:gridCol/>
                    <w:gridCol/>
                    <w:gridCol/>
                  </w:tblGrid>
                  <w:tr>
                    <w:trPr/>
                    <w:tc>
                      <w:tcPr>
                        <w:gridSpan w:val="4"/>
                        <w:vAlign w:val="top"/>
                      </w:tcPr>
                      <w:p>
                        <w:r>
                          <w:t xml:space="preserve">Risk of harm in the short-term</w:t>
                        </w:r>
                      </w:p>
                    </w:tc>
                  </w:tr>
                  <w:tr>
                    <w:trPr/>
                    <w:tc>
                      <w:tcPr>
                        <w:vAlign w:val="top"/>
                      </w:tcPr>
                      <w:p>
                        <w:r>
                          <w:t xml:space="preserve"> </w:t>
                        </w:r>
                      </w:p>
                    </w:tc>
                    <w:tc>
                      <w:tcPr>
                        <w:vAlign w:val="top"/>
                      </w:tcPr>
                      <w:p>
                        <w:r>
                          <w:t xml:space="preserve">Low risk</w:t>
                        </w:r>
                      </w:p>
                      <w:p>
                        <w:r>
                          <w:t xml:space="preserve">(standard drinks)</w:t>
                        </w:r>
                      </w:p>
                    </w:tc>
                    <w:tc>
                      <w:tcPr>
                        <w:vAlign w:val="top"/>
                      </w:tcPr>
                      <w:p>
                        <w:r>
                          <w:t xml:space="preserve">Risky</w:t>
                        </w:r>
                      </w:p>
                      <w:p>
                        <w:r>
                          <w:t xml:space="preserve">(standard drinks)</w:t>
                        </w:r>
                      </w:p>
                    </w:tc>
                    <w:tc>
                      <w:tcPr>
                        <w:vAlign w:val="top"/>
                      </w:tcPr>
                      <w:p>
                        <w:r>
                          <w:t xml:space="preserve">High risk</w:t>
                        </w:r>
                      </w:p>
                      <w:p>
                        <w:r>
                          <w:t xml:space="preserve">(standard drinks)</w:t>
                        </w:r>
                      </w:p>
                    </w:tc>
                  </w:tr>
                  <w:tr>
                    <w:trPr/>
                    <w:tc>
                      <w:tcPr>
                        <w:vAlign w:val="top"/>
                      </w:tcPr>
                      <w:p>
                        <w:r>
                          <w:t xml:space="preserve">Males</w:t>
                        </w:r>
                      </w:p>
                      <w:p>
                        <w:r>
                          <w:t xml:space="preserve">(on a single occasion)</w:t>
                        </w:r>
                      </w:p>
                    </w:tc>
                    <w:tc>
                      <w:tcPr>
                        <w:vAlign w:val="top"/>
                      </w:tcPr>
                      <w:p>
                        <w:r>
                          <w:t xml:space="preserve">Up to 6</w:t>
                        </w:r>
                      </w:p>
                    </w:tc>
                    <w:tc>
                      <w:tcPr>
                        <w:vAlign w:val="top"/>
                      </w:tcPr>
                      <w:p>
                        <w:r>
                          <w:t xml:space="preserve">7 to 10</w:t>
                        </w:r>
                      </w:p>
                    </w:tc>
                    <w:tc>
                      <w:tcPr>
                        <w:vAlign w:val="top"/>
                      </w:tcPr>
                      <w:p>
                        <w:r>
                          <w:t xml:space="preserve">11 or more</w:t>
                        </w:r>
                      </w:p>
                    </w:tc>
                  </w:tr>
                  <w:tr>
                    <w:trPr/>
                    <w:tc>
                      <w:tcPr>
                        <w:vAlign w:val="top"/>
                      </w:tcPr>
                      <w:p>
                        <w:r>
                          <w:t xml:space="preserve">Females</w:t>
                        </w:r>
                      </w:p>
                      <w:p>
                        <w:r>
                          <w:t xml:space="preserve">(on a single occasion)</w:t>
                        </w:r>
                      </w:p>
                    </w:tc>
                    <w:tc>
                      <w:tcPr>
                        <w:vAlign w:val="top"/>
                      </w:tcPr>
                      <w:p>
                        <w:r>
                          <w:t xml:space="preserve">Up to 4</w:t>
                        </w:r>
                      </w:p>
                    </w:tc>
                    <w:tc>
                      <w:tcPr>
                        <w:vAlign w:val="top"/>
                      </w:tcPr>
                      <w:p>
                        <w:r>
                          <w:t xml:space="preserve">5 to 6</w:t>
                        </w:r>
                      </w:p>
                    </w:tc>
                    <w:tc>
                      <w:tcPr>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InnerTable"/>
                    <w:tblW w:w="0" w:type="auto"/>
                  </w:tblPr>
                  <w:tblGrid>
                    <w:gridCol/>
                    <w:gridCol/>
                    <w:gridCol/>
                    <w:gridCol/>
                  </w:tblGrid>
                  <w:tr>
                    <w:trPr/>
                    <w:tc>
                      <w:tcPr>
                        <w:gridSpan w:val="4"/>
                        <w:vAlign w:val="top"/>
                      </w:tcPr>
                      <w:p>
                        <w:r>
                          <w:rPr>
                            <w:i/>
                          </w:rPr>
                          <w:t xml:space="preserve">Risk of harm in the long-term</w:t>
                        </w:r>
                      </w:p>
                    </w:tc>
                  </w:tr>
                  <w:tr>
                    <w:trPr/>
                    <w:tc>
                      <w:tcPr>
                        <w:vAlign w:val="top"/>
                      </w:tcPr>
                      <w:p>
                        <w:r>
                          <w:rPr>
                            <w:i/>
                          </w:rPr>
                          <w:t xml:space="preserve"> </w:t>
                        </w:r>
                      </w:p>
                    </w:tc>
                    <w:tc>
                      <w:tcPr>
                        <w:vAlign w:val="top"/>
                      </w:tcPr>
                      <w:p>
                        <w:r>
                          <w:rPr>
                            <w:i/>
                          </w:rPr>
                          <w:t xml:space="preserve">Low risk</w:t>
                        </w:r>
                      </w:p>
                      <w:p>
                        <w:r>
                          <w:rPr>
                            <w:i/>
                            <w:sz w:val="20"/>
                          </w:rPr>
                          <w:t xml:space="preserve">(standard drinks)</w:t>
                        </w:r>
                      </w:p>
                    </w:tc>
                    <w:tc>
                      <w:tcPr>
                        <w:vAlign w:val="top"/>
                      </w:tcPr>
                      <w:p>
                        <w:r>
                          <w:rPr>
                            <w:i/>
                          </w:rPr>
                          <w:t xml:space="preserve">Risky</w:t>
                        </w:r>
                      </w:p>
                      <w:p>
                        <w:r>
                          <w:rPr>
                            <w:i/>
                            <w:sz w:val="20"/>
                          </w:rPr>
                          <w:t xml:space="preserve">(standard drinks)</w:t>
                        </w:r>
                      </w:p>
                    </w:tc>
                    <w:tc>
                      <w:tcPr>
                        <w:vAlign w:val="top"/>
                      </w:tcPr>
                      <w:p>
                        <w:r>
                          <w:rPr>
                            <w:i/>
                          </w:rPr>
                          <w:t xml:space="preserve">High risk</w:t>
                        </w:r>
                      </w:p>
                      <w:p>
                        <w:r>
                          <w:rPr>
                            <w:i/>
                            <w:sz w:val="20"/>
                          </w:rPr>
                          <w:t xml:space="preserve">(standard drinks)</w:t>
                        </w:r>
                      </w:p>
                    </w:tc>
                  </w:tr>
                  <w:tr>
                    <w:trPr/>
                    <w:tc>
                      <w:tcPr>
                        <w:vAlign w:val="top"/>
                      </w:tcPr>
                      <w:p>
                        <w:r>
                          <w:rPr>
                            <w:i/>
                          </w:rPr>
                          <w:t xml:space="preserve">Males</w:t>
                        </w:r>
                      </w:p>
                      <w:p>
                        <w:r>
                          <w:rPr>
                            <w:i/>
                            <w:sz w:val="20"/>
                          </w:rPr>
                          <w:t xml:space="preserve">(on an average day)</w:t>
                        </w:r>
                      </w:p>
                    </w:tc>
                    <w:tc>
                      <w:tcPr>
                        <w:vAlign w:val="top"/>
                      </w:tcPr>
                      <w:p>
                        <w:r>
                          <w:rPr>
                            <w:i/>
                          </w:rPr>
                          <w:t xml:space="preserve">Up to 4</w:t>
                        </w:r>
                      </w:p>
                    </w:tc>
                    <w:tc>
                      <w:tcPr>
                        <w:vAlign w:val="top"/>
                      </w:tcPr>
                      <w:p>
                        <w:r>
                          <w:rPr>
                            <w:i/>
                          </w:rPr>
                          <w:t xml:space="preserve">5 to 6</w:t>
                        </w:r>
                      </w:p>
                    </w:tc>
                    <w:tc>
                      <w:tcPr>
                        <w:vAlign w:val="top"/>
                      </w:tcPr>
                      <w:p>
                        <w:r>
                          <w:rPr>
                            <w:i/>
                          </w:rPr>
                          <w:t xml:space="preserve">7 or more</w:t>
                        </w:r>
                      </w:p>
                    </w:tc>
                  </w:tr>
                  <w:tr>
                    <w:trPr/>
                    <w:tc>
                      <w:tcPr>
                        <w:vAlign w:val="top"/>
                      </w:tcPr>
                      <w:p>
                        <w:r>
                          <w:rPr>
                            <w:i/>
                          </w:rPr>
                          <w:t xml:space="preserve">Overall weekly level</w:t>
                        </w:r>
                      </w:p>
                    </w:tc>
                    <w:tc>
                      <w:tcPr>
                        <w:vAlign w:val="top"/>
                      </w:tcPr>
                      <w:p>
                        <w:r>
                          <w:rPr>
                            <w:i/>
                          </w:rPr>
                          <w:t xml:space="preserve">Up to 28</w:t>
                        </w:r>
                      </w:p>
                      <w:p>
                        <w:r>
                          <w:rPr>
                            <w:i/>
                          </w:rPr>
                          <w:t xml:space="preserve">Per week</w:t>
                        </w:r>
                      </w:p>
                    </w:tc>
                    <w:tc>
                      <w:tcPr>
                        <w:vAlign w:val="top"/>
                      </w:tcPr>
                      <w:p>
                        <w:r>
                          <w:rPr>
                            <w:i/>
                          </w:rPr>
                          <w:t xml:space="preserve">29 to 42</w:t>
                        </w:r>
                      </w:p>
                      <w:p>
                        <w:r>
                          <w:rPr>
                            <w:i/>
                          </w:rPr>
                          <w:t xml:space="preserve">Per week</w:t>
                        </w:r>
                      </w:p>
                    </w:tc>
                    <w:tc>
                      <w:tcPr>
                        <w:vAlign w:val="top"/>
                      </w:tcPr>
                      <w:p>
                        <w:r>
                          <w:rPr>
                            <w:i/>
                          </w:rPr>
                          <w:t xml:space="preserve">43 or more</w:t>
                        </w:r>
                      </w:p>
                      <w:p>
                        <w:r>
                          <w:rPr>
                            <w:i/>
                          </w:rPr>
                          <w:t xml:space="preserve">Per week</w:t>
                        </w:r>
                      </w:p>
                    </w:tc>
                  </w:tr>
                  <w:tr>
                    <w:trPr/>
                    <w:tc>
                      <w:tcPr>
                        <w:vAlign w:val="top"/>
                      </w:tcPr>
                      <w:p>
                        <w:r>
                          <w:rPr>
                            <w:i/>
                          </w:rPr>
                          <w:t xml:space="preserve">Females</w:t>
                        </w:r>
                      </w:p>
                      <w:p>
                        <w:r>
                          <w:rPr>
                            <w:i/>
                            <w:sz w:val="20"/>
                          </w:rPr>
                          <w:t xml:space="preserve">(on an average day)</w:t>
                        </w:r>
                      </w:p>
                    </w:tc>
                    <w:tc>
                      <w:tcPr>
                        <w:vAlign w:val="top"/>
                      </w:tcPr>
                      <w:p>
                        <w:r>
                          <w:rPr>
                            <w:i/>
                          </w:rPr>
                          <w:t xml:space="preserve">Up to 2</w:t>
                        </w:r>
                      </w:p>
                    </w:tc>
                    <w:tc>
                      <w:tcPr>
                        <w:vAlign w:val="top"/>
                      </w:tcPr>
                      <w:p>
                        <w:r>
                          <w:rPr>
                            <w:i/>
                          </w:rPr>
                          <w:t xml:space="preserve">3 to 4</w:t>
                        </w:r>
                      </w:p>
                    </w:tc>
                    <w:tc>
                      <w:tcPr>
                        <w:vAlign w:val="top"/>
                      </w:tcPr>
                      <w:p>
                        <w:r>
                          <w:rPr>
                            <w:i/>
                          </w:rPr>
                          <w:t xml:space="preserve">5 or more</w:t>
                        </w:r>
                      </w:p>
                    </w:tc>
                  </w:tr>
                  <w:tr>
                    <w:trPr/>
                    <w:tc>
                      <w:tcPr>
                        <w:vAlign w:val="top"/>
                      </w:tcPr>
                      <w:p>
                        <w:r>
                          <w:rPr>
                            <w:i/>
                          </w:rPr>
                          <w:t xml:space="preserve">Overall weekly level</w:t>
                        </w:r>
                      </w:p>
                    </w:tc>
                    <w:tc>
                      <w:tcPr>
                        <w:vAlign w:val="top"/>
                      </w:tcPr>
                      <w:p>
                        <w:r>
                          <w:rPr>
                            <w:i/>
                          </w:rPr>
                          <w:t xml:space="preserve">Up to 14</w:t>
                        </w:r>
                      </w:p>
                      <w:p>
                        <w:r>
                          <w:rPr>
                            <w:i/>
                          </w:rPr>
                          <w:t xml:space="preserve">Per week</w:t>
                        </w:r>
                      </w:p>
                    </w:tc>
                    <w:tc>
                      <w:tcPr>
                        <w:vAlign w:val="top"/>
                      </w:tcPr>
                      <w:p>
                        <w:r>
                          <w:rPr>
                            <w:i/>
                          </w:rPr>
                          <w:t xml:space="preserve">15 to 28</w:t>
                        </w:r>
                      </w:p>
                      <w:p>
                        <w:r>
                          <w:rPr>
                            <w:i/>
                          </w:rPr>
                          <w:t xml:space="preserve">Per week</w:t>
                        </w:r>
                      </w:p>
                    </w:tc>
                    <w:tc>
                      <w:tcPr>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3b8ba16c6848f8">
                    <w:r>
                      <w:rPr>
                        <w:rStyle w:val="Hyperlink"/>
                      </w:rPr>
                      <w:t xml:space="preserve">Person—blood pressure (diastolic)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55ec4cc37e4ef3">
                    <w:r>
                      <w:rPr>
                        <w:rStyle w:val="Hyperlink"/>
                      </w:rPr>
                      <w:t xml:space="preserve">Person—blood pressure (systolic)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5f70d704e8446a">
                    <w:r>
                      <w:rPr>
                        <w:rStyle w:val="Hyperlink"/>
                      </w:rPr>
                      <w:t xml:space="preserve">Person—cardiovascular disease condition targeted by drug therapy,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4772e9b96a4c2e">
                    <w:r>
                      <w:rPr>
                        <w:rStyle w:val="Hyperlink"/>
                      </w:rPr>
                      <w:t xml:space="preserve">Person—cholesterol level (measured), total millimoles per litre N[N].N</w:t>
                    </w:r>
                  </w:hyperlink>
                </w:p>
                <w:p>
                  <w:r>
                    <w:rPr>
                      <w:b/>
                      <w:i/>
                      <w:color w:val="333333"/>
                    </w:rPr>
                    <w:t xml:space="preserve">DSS specific information:</w:t>
                  </w:r>
                </w:p>
                <w:p>
                  <w: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t xml:space="preserve">Many studies have demonstrated the significance of blood cholesterol components as risk factors for heart, stroke and vascular disease.</w:t>
                  </w:r>
                </w:p>
                <w:p>
                  <w:r>
                    <w:t xml:space="preserve">Several generalisations can be made from these cholesterol lowering trials:</w:t>
                  </w:r>
                </w:p>
                <w:p>
                  <w:pPr>
                    <w:pStyle w:val="ListParagraph"/>
                    <w:numPr>
                      <w:ilvl w:val="0"/>
                      <w:numId w:val="6"/>
                    </w:numPr>
                  </w:pPr>
                  <w: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6"/>
                    </w:numPr>
                  </w:pPr>
                  <w:r>
                    <w:t xml:space="preserve">It should be emphasised, however, that this conclusion does not necessarily apply beyond the range of cholesterol levels which have been tested in these studies. </w:t>
                  </w:r>
                </w:p>
                <w:p>
                  <w:pPr>
                    <w:pStyle w:val="ListParagraph"/>
                    <w:numPr>
                      <w:ilvl w:val="0"/>
                      <w:numId w:val="6"/>
                    </w:numPr>
                  </w:pPr>
                  <w:r>
                    <w:t xml:space="preserve">That the benefits of cholesterol lowering are apparent in people with and without coronary artery disease. </w:t>
                  </w:r>
                </w:p>
                <w:p>
                  <w:r>
                    <w:t xml:space="preserve">There is high level evidence that in patients with existing coronary heart disease, lipid intervention therapy reduces the risk of subsequent stroke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aa24e7ca4047f1">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cfbefab9584e5a">
                    <w:r>
                      <w:rPr>
                        <w:rStyle w:val="Hyperlink"/>
                      </w:rPr>
                      <w:t xml:space="preserve">Person—creatinine serum level, total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4f3d2c7093496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654a2416bc4ac9">
                    <w:r>
                      <w:rPr>
                        <w:rStyle w:val="Hyperlink"/>
                      </w:rPr>
                      <w:t xml:space="preserve">Person—diabetes mellitus status, code NN</w:t>
                    </w:r>
                  </w:hyperlink>
                </w:p>
                <w:p>
                  <w:r>
                    <w:rPr>
                      <w:b/>
                      <w:i/>
                      <w:color w:val="333333"/>
                    </w:rPr>
                    <w:t xml:space="preserve">DSS specific information:</w:t>
                  </w:r>
                </w:p>
                <w:p>
                  <w:r>
                    <w:t xml:space="preserve">People with diabetes have two to five times increased risk of developing heart, stroke and vascular disease (Zimmet &amp; Alberti 1997). Cardiovascular disease is the most common cause of death in people with diabetes.</w:t>
                  </w:r>
                </w:p>
                <w:p>
                  <w:r>
                    <w:t xml:space="preserve">Diabetes is also an important cause of stroke, and people with diabetes may have a worse prognosis after stroke.</w:t>
                  </w:r>
                </w:p>
                <w:p>
                  <w:r>
                    <w:t xml:space="preserve">Heart, stroke and vascular disease and diabetes share common risk factors, but also diabetes is an independent risk factor for heart, stroke and vascular disease.</w:t>
                  </w:r>
                </w:p>
                <w:p>
                  <w: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t xml:space="preserve">Diabetes may accentuate the role of elevated blood pressure in stroke. The incidence and prevalence of peripheral vascular disease in those with diabetes increase with the duration of the peripheral vascular disease.</w:t>
                  </w:r>
                </w:p>
                <w:p>
                  <w: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t xml:space="preserve">In settings such as general practice where the monitoring of a person's health is ongoing and where diabetes status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a30721686c4b7f">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6e9c616f544b47">
                    <w:r>
                      <w:rPr>
                        <w:rStyle w:val="Hyperlink"/>
                      </w:rPr>
                      <w:t xml:space="preserve">Person—formal community support access indicator (current),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4cd81eee9f4ece">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e9da6471284f65">
                    <w:r>
                      <w:rPr>
                        <w:rStyle w:val="Hyperlink"/>
                      </w:rPr>
                      <w:t xml:space="preserve">Person—high-density lipoprotein cholesterol level (measured), total millimoles per litre [N].NN</w:t>
                    </w:r>
                  </w:hyperlink>
                </w:p>
                <w:p>
                  <w:r>
                    <w:rPr>
                      <w:b/>
                      <w:i/>
                      <w:color w:val="333333"/>
                    </w:rPr>
                    <w:t xml:space="preserve">DSS specific information:</w:t>
                  </w:r>
                </w:p>
                <w:p>
                  <w:r>
                    <w:t xml:space="preserve">High-density Lipoprotein Cholesterol (HDL-C) is easily measured and has been shown to be a negative predictor of future coronary events.</w:t>
                  </w:r>
                </w:p>
                <w:p>
                  <w: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4ee3038942437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0a1ae05f744ff6">
                    <w:r>
                      <w:rPr>
                        <w:rStyle w:val="Hyperlink"/>
                      </w:rPr>
                      <w:t xml:space="preserve">Person—informal carer existence indicator, code N</w:t>
                    </w:r>
                  </w:hyperlink>
                </w:p>
                <w:p>
                  <w:r>
                    <w:rPr>
                      <w:b/>
                      <w:i/>
                      <w:color w:val="333333"/>
                    </w:rPr>
                    <w:t xml:space="preserve">DSS specific information:</w:t>
                  </w:r>
                </w:p>
                <w:p>
                  <w: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9dc9823ce34917">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20928adcfe476d">
                    <w:r>
                      <w:rPr>
                        <w:rStyle w:val="Hyperlink"/>
                      </w:rPr>
                      <w:t xml:space="preserve">Person—living arrangement, health 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da61c8da56448e">
                    <w:r>
                      <w:rPr>
                        <w:rStyle w:val="Hyperlink"/>
                      </w:rPr>
                      <w:t xml:space="preserve">Person—low-density lipoprotein cholesterol level (calculated), total millimoles per litre N[N].N</w:t>
                    </w:r>
                  </w:hyperlink>
                </w:p>
                <w:p>
                  <w:r>
                    <w:rPr>
                      <w:b/>
                      <w:i/>
                      <w:color w:val="333333"/>
                    </w:rPr>
                    <w:t xml:space="preserve">DSS specific information:</w:t>
                  </w:r>
                </w:p>
                <w:p>
                  <w:r>
                    <w:t xml:space="preserve">Many studies have demonstrated the significance of blood cholesterol components as risk factors for heart, stroke and vascular disease.</w:t>
                  </w:r>
                </w:p>
                <w:p>
                  <w:r>
                    <w:t xml:space="preserve">Scientific studies have shown a continuous relationship between lipid levels and Coronary Heart Disease (CHD) and overwhelming evidence that lipid lowering interventions reduces CHD progression, morbidity and mortality.</w:t>
                  </w:r>
                </w:p>
                <w:p>
                  <w: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7"/>
                    </w:numPr>
                  </w:pPr>
                  <w:r>
                    <w:t xml:space="preserve">the majority of people with CHD do not have markedly elevated levels of plasma total cholesterol or LDL-C, </w:t>
                  </w:r>
                </w:p>
                <w:p>
                  <w:pPr>
                    <w:pStyle w:val="ListParagraph"/>
                    <w:numPr>
                      <w:ilvl w:val="0"/>
                      <w:numId w:val="7"/>
                    </w:numPr>
                  </w:pPr>
                  <w:r>
                    <w:t xml:space="preserve">there is a continuous positive but curvilinear relationship between the concentration of plasma total (and LDL) cholesterol and the risk of having a coronary event and of dying from CHD, </w:t>
                  </w:r>
                </w:p>
                <w:p>
                  <w:pPr>
                    <w:pStyle w:val="ListParagraph"/>
                    <w:numPr>
                      <w:ilvl w:val="0"/>
                      <w:numId w:val="7"/>
                    </w:numPr>
                  </w:pPr>
                  <w:r>
                    <w:t xml:space="preserve">there is no evidence that a low level of plasma (or LDL) cholesterol predisposes to an increase in non-coronary mortality.</w:t>
                  </w:r>
                </w:p>
                <w:p>
                  <w: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57646ade0f4079">
                    <w:r>
                      <w:rPr>
                        <w:rStyle w:val="Hyperlink"/>
                      </w:rPr>
                      <w:t xml:space="preserve">Person—number of cigarettes smoked (per day), total N[N]</w:t>
                    </w:r>
                  </w:hyperlink>
                </w:p>
                <w:p>
                  <w:r>
                    <w:rPr>
                      <w:b/>
                      <w:i/>
                      <w:color w:val="333333"/>
                    </w:rPr>
                    <w:t xml:space="preserve">DSS specific information:</w:t>
                  </w:r>
                </w:p>
                <w:p>
                  <w: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t xml:space="preserve">Data on quantity smoked can be used to:</w:t>
                  </w:r>
                </w:p>
                <w:p>
                  <w:pPr>
                    <w:pStyle w:val="ListParagraph"/>
                    <w:numPr>
                      <w:ilvl w:val="0"/>
                      <w:numId w:val="8"/>
                    </w:numPr>
                  </w:pPr>
                  <w:r>
                    <w:t xml:space="preserve">evaluate health promotion and disease prevention programs (assessment of interventions)</w:t>
                  </w:r>
                </w:p>
                <w:p>
                  <w:pPr>
                    <w:pStyle w:val="ListParagraph"/>
                    <w:numPr>
                      <w:ilvl w:val="0"/>
                      <w:numId w:val="8"/>
                    </w:numPr>
                  </w:pPr>
                  <w:r>
                    <w:t xml:space="preserve">monitor health risk factors and progress towards National Health Goals and Targets</w:t>
                  </w:r>
                </w:p>
                <w:p>
                  <w:pPr>
                    <w:pStyle w:val="ListParagraph"/>
                    <w:numPr>
                      <w:ilvl w:val="0"/>
                      <w:numId w:val="8"/>
                    </w:numPr>
                  </w:pPr>
                  <w:r>
                    <w:t xml:space="preserve">ascertain determinants and consequences of smoking</w:t>
                  </w:r>
                </w:p>
                <w:p>
                  <w:pPr>
                    <w:pStyle w:val="ListParagraph"/>
                    <w:numPr>
                      <w:ilvl w:val="0"/>
                      <w:numId w:val="8"/>
                    </w:numPr>
                  </w:pPr>
                  <w:r>
                    <w:t xml:space="preserve">assess a person's exposure to tobacco smoke.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941b7d53ce4cf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93d83f7e694e47">
                    <w:r>
                      <w:rPr>
                        <w:rStyle w:val="Hyperlink"/>
                      </w:rPr>
                      <w:t xml:space="preserve">Person—physical activity sufficiency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ed0eb8b8d74c5b">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2534a99f3e4ee5">
                    <w:r>
                      <w:rPr>
                        <w:rStyle w:val="Hyperlink"/>
                      </w:rPr>
                      <w:t xml:space="preserve">Person—premature cardiovascular disease family history status, code N</w:t>
                    </w:r>
                  </w:hyperlink>
                </w:p>
                <w:p>
                  <w:r>
                    <w:rPr>
                      <w:b/>
                      <w:i/>
                      <w:color w:val="333333"/>
                    </w:rPr>
                    <w:t xml:space="preserve">DSS specific information:</w:t>
                  </w:r>
                </w:p>
                <w:p>
                  <w: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ec6daaf21d4c66">
                    <w:r>
                      <w:rPr>
                        <w:rStyle w:val="Hyperlink"/>
                      </w:rPr>
                      <w:t xml:space="preserve">Person—proteinuria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08a2f51d644dab">
                    <w:r>
                      <w:rPr>
                        <w:rStyle w:val="Hyperlink"/>
                      </w:rPr>
                      <w:t xml:space="preserve">Person—renal disease therapy, code N</w:t>
                    </w:r>
                  </w:hyperlink>
                </w:p>
                <w:p>
                  <w:r>
                    <w:rPr>
                      <w:b/>
                      <w:i/>
                      <w:color w:val="333333"/>
                    </w:rPr>
                    <w:t xml:space="preserve">DSS specific information:</w:t>
                  </w:r>
                </w:p>
                <w:p>
                  <w:r>
                    <w:t xml:space="preserve">Nephrotoxic agents (including radiocontrast) should be avoided where possible.</w:t>
                  </w:r>
                  <w:r>
                    <w:br/>
                  </w:r>
                  <w:r>
                    <w:t xml:space="preserve">Drugs that impair auto-regulation of glomerular filtration rate (GFR) (NSAIDs, COX-2, ACEI, ATRA) should be used with caution in renal impairment, particularly when patients are acutely unwell for other reasons (sepsis, peri-operative etc).</w:t>
                  </w:r>
                </w:p>
                <w:p>
                  <w: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t xml:space="preserve">Drugs, which are primarily excreted by the kidney (e.g. metformin, sotalol, cisapride, etc.) need to be used with caution in patients with renal impairment. The calculated GFR needs to be determined and the dose reduced or the drug avoided as appropriate.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3d80fe2b89459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8fdfc2a9d54827">
                    <w:r>
                      <w:rPr>
                        <w:rStyle w:val="Hyperlink"/>
                      </w:rPr>
                      <w:t xml:space="preserve">Person—tobacco smoking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b83b3cde044518">
                    <w:r>
                      <w:rPr>
                        <w:rStyle w:val="Hyperlink"/>
                      </w:rPr>
                      <w:t xml:space="preserve">Person—triglyceride level (measured), total millimoles per litre N[N].N</w:t>
                    </w:r>
                  </w:hyperlink>
                </w:p>
                <w:p>
                  <w:r>
                    <w:rPr>
                      <w:b/>
                      <w:i/>
                      <w:color w:val="333333"/>
                    </w:rPr>
                    <w:t xml:space="preserve">DSS specific information:</w:t>
                  </w:r>
                </w:p>
                <w:p>
                  <w: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9"/>
                    </w:numPr>
                  </w:pPr>
                  <w:r>
                    <w:t xml:space="preserve">an elevated concentration of plasma triglyceride (&gt; 2.0 mmol/L) is predictive of CHD when associated with either an increased concentration of LDL-C or a decreased concentration of HDL-C. </w:t>
                  </w:r>
                </w:p>
                <w:p>
                  <w:pPr>
                    <w:pStyle w:val="ListParagraph"/>
                    <w:numPr>
                      <w:ilvl w:val="0"/>
                      <w:numId w:val="9"/>
                    </w:numPr>
                  </w:pPr>
                  <w: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 </w:t>
                  </w:r>
                </w:p>
                <w:p>
                  <w: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768817d7894a49">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c89d7e551f4d86">
                    <w:r>
                      <w:rPr>
                        <w:rStyle w:val="Hyperlink"/>
                      </w:rPr>
                      <w:t xml:space="preserve">Person—vascular procedures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229026aec84634">
                    <w:r>
                      <w:rPr>
                        <w:rStyle w:val="Hyperlink"/>
                      </w:rPr>
                      <w:t xml:space="preserve">Person—waist circumference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71aeffdbf849c1">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6c6ae72c0e4f15">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1798b3c1e2448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1dc43c9f6e49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798b3c1e2448fe" /><Relationship Type="http://schemas.openxmlformats.org/officeDocument/2006/relationships/header" Target="/word/header1.xml" Id="R6ba981c146634ab4" /><Relationship Type="http://schemas.openxmlformats.org/officeDocument/2006/relationships/settings" Target="/word/settings.xml" Id="Rb2924cbaded34202" /><Relationship Type="http://schemas.openxmlformats.org/officeDocument/2006/relationships/styles" Target="/word/styles.xml" Id="R3e4609e2a6134546" /><Relationship Type="http://schemas.openxmlformats.org/officeDocument/2006/relationships/numbering" Target="/word/numbering.xml" Id="Rc17e4b9f4b664595" /><Relationship Type="http://schemas.openxmlformats.org/officeDocument/2006/relationships/hyperlink" Target="https://meteor-uat.aihw.gov.au/RegistrationAuthority/14" TargetMode="External" Id="Rcdc7bcd72cec48c9" /><Relationship Type="http://schemas.openxmlformats.org/officeDocument/2006/relationships/hyperlink" Target="https://meteor-uat.aihw.gov.au/content/353668" TargetMode="External" Id="R3b7ecab272b846a2" /><Relationship Type="http://schemas.openxmlformats.org/officeDocument/2006/relationships/hyperlink" Target="https://meteor-uat.aihw.gov.au/RegistrationAuthority/14" TargetMode="External" Id="Rfaa5e8670c824244" /><Relationship Type="http://schemas.openxmlformats.org/officeDocument/2006/relationships/hyperlink" Target="https://meteor-uat.aihw.gov.au/content/470731" TargetMode="External" Id="R09f3b70b456f45f2" /><Relationship Type="http://schemas.openxmlformats.org/officeDocument/2006/relationships/hyperlink" Target="https://meteor-uat.aihw.gov.au/RegistrationAuthority/14" TargetMode="External" Id="Rea323094265446ad" /><Relationship Type="http://schemas.openxmlformats.org/officeDocument/2006/relationships/hyperlink" Target="https://meteor-uat.aihw.gov.au/content/270014" TargetMode="External" Id="R1047dd2c4bdb4b22" /><Relationship Type="http://schemas.openxmlformats.org/officeDocument/2006/relationships/hyperlink" Target="https://meteor-uat.aihw.gov.au/content/270338" TargetMode="External" Id="R6f98e564415e47f6" /><Relationship Type="http://schemas.openxmlformats.org/officeDocument/2006/relationships/hyperlink" Target="https://meteor-uat.aihw.gov.au/content/270165" TargetMode="External" Id="Rd5ab3c70f45f4196" /><Relationship Type="http://schemas.openxmlformats.org/officeDocument/2006/relationships/hyperlink" Target="https://meteor-uat.aihw.gov.au/content/302941" TargetMode="External" Id="Re19b176217e9421f" /><Relationship Type="http://schemas.openxmlformats.org/officeDocument/2006/relationships/hyperlink" Target="https://meteor-uat.aihw.gov.au/content/269993" TargetMode="External" Id="Rc8cbb88b1d4c496a" /><Relationship Type="http://schemas.openxmlformats.org/officeDocument/2006/relationships/hyperlink" Target="https://meteor-uat.aihw.gov.au/content/270544" TargetMode="External" Id="Rdab283cda1944b07" /><Relationship Type="http://schemas.openxmlformats.org/officeDocument/2006/relationships/hyperlink" Target="https://meteor-uat.aihw.gov.au/content/287224" TargetMode="External" Id="Rdb07b9951583420e" /><Relationship Type="http://schemas.openxmlformats.org/officeDocument/2006/relationships/hyperlink" Target="https://meteor-uat.aihw.gov.au/content/270249" TargetMode="External" Id="R6e2f67afae454fa8" /><Relationship Type="http://schemas.openxmlformats.org/officeDocument/2006/relationships/hyperlink" Target="https://meteor-uat.aihw.gov.au/content/270247" TargetMode="External" Id="R3847aa0bdce848a9" /><Relationship Type="http://schemas.openxmlformats.org/officeDocument/2006/relationships/hyperlink" Target="https://meteor-uat.aihw.gov.au/content/270072" TargetMode="External" Id="Rc13b8ba16c6848f8" /><Relationship Type="http://schemas.openxmlformats.org/officeDocument/2006/relationships/hyperlink" Target="https://meteor-uat.aihw.gov.au/content/270073" TargetMode="External" Id="Ra255ec4cc37e4ef3" /><Relationship Type="http://schemas.openxmlformats.org/officeDocument/2006/relationships/hyperlink" Target="https://meteor-uat.aihw.gov.au/content/270193" TargetMode="External" Id="R6e5f70d704e8446a" /><Relationship Type="http://schemas.openxmlformats.org/officeDocument/2006/relationships/hyperlink" Target="https://meteor-uat.aihw.gov.au/content/359245" TargetMode="External" Id="R694772e9b96a4c2e" /><Relationship Type="http://schemas.openxmlformats.org/officeDocument/2006/relationships/hyperlink" Target="https://meteor-uat.aihw.gov.au/content/370943" TargetMode="External" Id="Rcfaa24e7ca4047f1" /><Relationship Type="http://schemas.openxmlformats.org/officeDocument/2006/relationships/hyperlink" Target="https://meteor-uat.aihw.gov.au/content/360936" TargetMode="External" Id="Rbecfbefab9584e5a" /><Relationship Type="http://schemas.openxmlformats.org/officeDocument/2006/relationships/hyperlink" Target="https://meteor-uat.aihw.gov.au/content/287007" TargetMode="External" Id="R764f3d2c7093496f" /><Relationship Type="http://schemas.openxmlformats.org/officeDocument/2006/relationships/hyperlink" Target="https://meteor-uat.aihw.gov.au/content/270194" TargetMode="External" Id="R70654a2416bc4ac9" /><Relationship Type="http://schemas.openxmlformats.org/officeDocument/2006/relationships/hyperlink" Target="https://meteor-uat.aihw.gov.au/content/270236" TargetMode="External" Id="R97a30721686c4b7f" /><Relationship Type="http://schemas.openxmlformats.org/officeDocument/2006/relationships/hyperlink" Target="https://meteor-uat.aihw.gov.au/content/270169" TargetMode="External" Id="R846e9c616f544b47" /><Relationship Type="http://schemas.openxmlformats.org/officeDocument/2006/relationships/hyperlink" Target="https://meteor-uat.aihw.gov.au/content/270361" TargetMode="External" Id="R904cd81eee9f4ece" /><Relationship Type="http://schemas.openxmlformats.org/officeDocument/2006/relationships/hyperlink" Target="https://meteor-uat.aihw.gov.au/content/270401" TargetMode="External" Id="R9ae9da6471284f65" /><Relationship Type="http://schemas.openxmlformats.org/officeDocument/2006/relationships/hyperlink" Target="https://meteor-uat.aihw.gov.au/content/291036" TargetMode="External" Id="R9f4ee3038942437b" /><Relationship Type="http://schemas.openxmlformats.org/officeDocument/2006/relationships/hyperlink" Target="https://meteor-uat.aihw.gov.au/content/320939" TargetMode="External" Id="R550a1ae05f744ff6" /><Relationship Type="http://schemas.openxmlformats.org/officeDocument/2006/relationships/hyperlink" Target="https://meteor-uat.aihw.gov.au/content/270112" TargetMode="External" Id="Rad9dc9823ce34917" /><Relationship Type="http://schemas.openxmlformats.org/officeDocument/2006/relationships/hyperlink" Target="https://meteor-uat.aihw.gov.au/content/299712" TargetMode="External" Id="R3720928adcfe476d" /><Relationship Type="http://schemas.openxmlformats.org/officeDocument/2006/relationships/hyperlink" Target="https://meteor-uat.aihw.gov.au/content/359262" TargetMode="External" Id="R04da61c8da56448e" /><Relationship Type="http://schemas.openxmlformats.org/officeDocument/2006/relationships/hyperlink" Target="https://meteor-uat.aihw.gov.au/content/270332" TargetMode="External" Id="R8757646ade0f4079" /><Relationship Type="http://schemas.openxmlformats.org/officeDocument/2006/relationships/hyperlink" Target="https://meteor-uat.aihw.gov.au/content/290046" TargetMode="External" Id="R5f941b7d53ce4cf6" /><Relationship Type="http://schemas.openxmlformats.org/officeDocument/2006/relationships/hyperlink" Target="https://meteor-uat.aihw.gov.au/content/270054" TargetMode="External" Id="Rdf93d83f7e694e47" /><Relationship Type="http://schemas.openxmlformats.org/officeDocument/2006/relationships/hyperlink" Target="https://meteor-uat.aihw.gov.au/content/304128" TargetMode="External" Id="R7bed0eb8b8d74c5b" /><Relationship Type="http://schemas.openxmlformats.org/officeDocument/2006/relationships/hyperlink" Target="https://meteor-uat.aihw.gov.au/content/359398" TargetMode="External" Id="R8b2534a99f3e4ee5" /><Relationship Type="http://schemas.openxmlformats.org/officeDocument/2006/relationships/hyperlink" Target="https://meteor-uat.aihw.gov.au/content/270346" TargetMode="External" Id="R18ec6daaf21d4c66" /><Relationship Type="http://schemas.openxmlformats.org/officeDocument/2006/relationships/hyperlink" Target="https://meteor-uat.aihw.gov.au/content/270264" TargetMode="External" Id="R0708a2f51d644dab" /><Relationship Type="http://schemas.openxmlformats.org/officeDocument/2006/relationships/hyperlink" Target="https://meteor-uat.aihw.gov.au/content/287316" TargetMode="External" Id="R493d80fe2b894597" /><Relationship Type="http://schemas.openxmlformats.org/officeDocument/2006/relationships/hyperlink" Target="https://meteor-uat.aihw.gov.au/content/270311" TargetMode="External" Id="Rbd8fdfc2a9d54827" /><Relationship Type="http://schemas.openxmlformats.org/officeDocument/2006/relationships/hyperlink" Target="https://meteor-uat.aihw.gov.au/content/359411" TargetMode="External" Id="Rc9b83b3cde044518" /><Relationship Type="http://schemas.openxmlformats.org/officeDocument/2006/relationships/hyperlink" Target="https://meteor-uat.aihw.gov.au/content/269958" TargetMode="External" Id="R9c768817d7894a49" /><Relationship Type="http://schemas.openxmlformats.org/officeDocument/2006/relationships/hyperlink" Target="https://meteor-uat.aihw.gov.au/content/269962" TargetMode="External" Id="R9bc89d7e551f4d86" /><Relationship Type="http://schemas.openxmlformats.org/officeDocument/2006/relationships/hyperlink" Target="https://meteor-uat.aihw.gov.au/content/270129" TargetMode="External" Id="Rc6229026aec84634" /><Relationship Type="http://schemas.openxmlformats.org/officeDocument/2006/relationships/hyperlink" Target="https://meteor-uat.aihw.gov.au/content/270208" TargetMode="External" Id="Rc471aeffdbf849c1" /><Relationship Type="http://schemas.openxmlformats.org/officeDocument/2006/relationships/hyperlink" Target="https://meteor-uat.aihw.gov.au/content/270122" TargetMode="External" Id="R7e6c6ae72c0e4f15" /></Relationships>
</file>

<file path=word/_rels/header1.xml.rels>&#65279;<?xml version="1.0" encoding="utf-8"?><Relationships xmlns="http://schemas.openxmlformats.org/package/2006/relationships"><Relationship Type="http://schemas.openxmlformats.org/officeDocument/2006/relationships/image" Target="/media/image.png" Id="Re91dc43c9f6e497d" /></Relationships>
</file>