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d20c65473b4d62" /></Relationships>
</file>

<file path=word/document.xml><?xml version="1.0" encoding="utf-8"?>
<w:document xmlns:r="http://schemas.openxmlformats.org/officeDocument/2006/relationships" xmlns:w="http://schemas.openxmlformats.org/wordprocessingml/2006/main">
  <w:body>
    <w:p>
      <w:pPr>
        <w:pStyle w:val="Title"/>
      </w:pPr>
      <w:r>
        <w:t>Commonwealth State/Territory Disability Agreement NMDS (July 2008)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State/Territory Disability Agreement NMDS (July 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17a4f79be4013">
              <w:r>
                <w:rPr>
                  <w:rStyle w:val="Hyperlink"/>
                  <w:color w:val="244061"/>
                </w:rPr>
                <w:t xml:space="preserve">Community Services (retired)</w:t>
              </w:r>
            </w:hyperlink>
            <w:r>
              <w:rPr>
                <w:rStyle w:val="row-content"/>
                <w:color w:val="244061"/>
              </w:rPr>
              <w:t xml:space="preserve">, Superseded 11/11/2009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Commonwealth State/Territory Disability Agreement National Minimum Data Set (CSTDA NMDS) and its national collection is: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CSTDA NMDS collection is to facilitate the annual collation of nationally comparable data about CSTDA-funded services, and to obtain reliable, consistent data with minimal load on the disability services field. Under the CSTDA, the Disability Administrators in all Australian jurisdictions are responsible for ensuring ‘that CSTDA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CSTDA. Therefore, if a service type outlet did not receive CSTDA funding for the 2006–07 collection (i.e. its CSTDA funding dollars for the financial year are zero), then details of this outlet should not be included in the data collection.</w:t>
            </w:r>
          </w:p>
          <w:p>
            <w:pPr>
              <w:spacing w:after="160"/>
            </w:pPr>
            <w:r>
              <w:rPr>
                <w:rStyle w:val="row-content-rich-text"/>
              </w:rPr>
              <w:t xml:space="preserve">A funded agency may receive funding from multiple sources. Where a funded agency is unable to differentiate service users and/or staff according to funding source (i.e. CSTDA or other), they are asked to provide details of all service users and staff (for each service type).</w:t>
            </w:r>
          </w:p>
          <w:p>
            <w:pPr>
              <w:spacing w:after="160"/>
            </w:pPr>
            <w:r>
              <w:rPr>
                <w:rStyle w:val="row-content-rich-text"/>
              </w:rPr>
              <w:t xml:space="preserve">Most agencies funded under the CSTDA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CSTDA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For example, if a family member/carer receives respite services, only details about the service user (i.e., the person with the disability) are required, not those of the family or carer.</w:t>
            </w:r>
          </w:p>
          <w:p>
            <w:pPr>
              <w:pStyle w:val="Heading3"/>
            </w:pPr>
            <w:r>
              <w:rPr>
                <w:rStyle w:val="row-content-rich-text"/>
              </w:rPr>
              <w:t xml:space="preserve">Table 1:</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450" w:type="pct"/>
                  <w:vAlign w:val="top"/>
                </w:tcPr>
                <w:p>
                  <w:pPr/>
                  <w:r>
                    <w:rPr>
                      <w:rStyle w:val="row-content-rich-text"/>
                      <w:b/>
                    </w:rPr>
                    <w:t xml:space="preserve">Service type classification</w:t>
                  </w:r>
                </w:p>
              </w:tc>
              <w:tc>
                <w:tcPr>
                  <w:tcW w:w="600" w:type="pct"/>
                  <w:vAlign w:val="top"/>
                </w:tcPr>
                <w:p>
                  <w:r>
                    <w:rPr>
                      <w:b/>
                    </w:rPr>
                    <w:t xml:space="preserve">Service type outlet –details required (except for those provided by the jurisdiction)</w:t>
                  </w:r>
                </w:p>
              </w:tc>
              <w:tc>
                <w:tcPr>
                  <w:tcW w:w="750" w:type="pct"/>
                  <w:vAlign w:val="top"/>
                </w:tcPr>
                <w:p>
                  <w:r>
                    <w:rPr>
                      <w:b/>
                    </w:rPr>
                    <w:t xml:space="preserve">Service user – details required</w:t>
                  </w:r>
                </w:p>
              </w:tc>
              <w:tc>
                <w:tcPr>
                  <w:tcW w:w="2100" w:type="pct"/>
                  <w:vAlign w:val="top"/>
                </w:tcPr>
                <w:p>
                  <w:r>
                    <w:rPr>
                      <w:b/>
                    </w:rPr>
                    <w:t xml:space="preserve">Services received by each service user in the reporting period – details required</w:t>
                  </w:r>
                </w:p>
              </w:tc>
            </w:tr>
            <w:tr>
              <w:trPr/>
              <w:tc>
                <w:tcPr>
                  <w:tcW w:w="1450" w:type="pct"/>
                  <w:vAlign w:val="top"/>
                </w:tcPr>
                <w:p>
                  <w:r>
                    <w:t xml:space="preserve">CSTDA Accommodation support 1.01-1.04, 1.08</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Accommodation support 1.05-1.07</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Community support 2.01-2.05</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Community support 2.06</w:t>
                  </w:r>
                </w:p>
              </w:tc>
              <w:tc>
                <w:tcPr>
                  <w:tcW w:w="600" w:type="pct"/>
                  <w:vAlign w:val="top"/>
                </w:tcPr>
                <w:p>
                  <w:r>
                    <w:t xml:space="preserve">All</w:t>
                  </w:r>
                </w:p>
              </w:tc>
              <w:tc>
                <w:tcPr>
                  <w:tcW w:w="750" w:type="pct"/>
                  <w:vAlign w:val="top"/>
                </w:tcPr>
                <w:p>
                  <w:r>
                    <w:t xml:space="preserve">All (except for community development activity within this service type)</w:t>
                  </w:r>
                </w:p>
              </w:tc>
              <w:tc>
                <w:tcPr>
                  <w:tcW w:w="2100" w:type="pct"/>
                  <w:vAlign w:val="top"/>
                </w:tcPr>
                <w:p>
                  <w:r>
                    <w:t xml:space="preserve">All (except for community development activity within this service type)</w:t>
                  </w:r>
                </w:p>
              </w:tc>
            </w:tr>
            <w:tr>
              <w:trPr/>
              <w:tc>
                <w:tcPr>
                  <w:tcW w:w="1450" w:type="pct"/>
                  <w:vAlign w:val="top"/>
                </w:tcPr>
                <w:p>
                  <w:r>
                    <w:t xml:space="preserve">CSTDA Community support 2.07</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 </w:t>
                  </w:r>
                </w:p>
              </w:tc>
            </w:tr>
            <w:tr>
              <w:trPr/>
              <w:tc>
                <w:tcPr>
                  <w:tcW w:w="1450" w:type="pct"/>
                  <w:vAlign w:val="top"/>
                </w:tcPr>
                <w:p>
                  <w:r>
                    <w:t xml:space="preserve">CSTDA Community access 3.01, 3.03 Learning and life skills development</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Community access 3.02 Recreation/holiday programs(a)</w:t>
                  </w:r>
                </w:p>
              </w:tc>
              <w:tc>
                <w:tcPr>
                  <w:tcW w:w="600" w:type="pct"/>
                  <w:vAlign w:val="top"/>
                </w:tcPr>
                <w:p>
                  <w:r>
                    <w:t xml:space="preserve">All</w:t>
                  </w:r>
                </w:p>
              </w:tc>
              <w:tc>
                <w:tcPr>
                  <w:tcW w:w="750" w:type="pct"/>
                  <w:vAlign w:val="top"/>
                </w:tcPr>
                <w:p>
                  <w:r>
                    <w:t xml:space="preserve">Linkage key elements only (items 2a–2e)</w:t>
                  </w:r>
                </w:p>
              </w:tc>
              <w:tc>
                <w:tcPr>
                  <w:tcW w:w="2100" w:type="pct"/>
                  <w:vAlign w:val="top"/>
                </w:tcPr>
                <w:p>
                  <w:r>
                    <w:t xml:space="preserve">The following items are optional: Service episode— episode start date; Service event —last service provision date; and Person—service received indicator</w:t>
                  </w:r>
                </w:p>
              </w:tc>
            </w:tr>
            <w:tr>
              <w:trPr/>
              <w:tc>
                <w:tcPr>
                  <w:tcW w:w="1450" w:type="pct"/>
                  <w:vAlign w:val="top"/>
                </w:tcPr>
                <w:p>
                  <w:r>
                    <w:t xml:space="preserve">CSTDA Respite 4.01-4.05</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Employment 5.01-5.02</w:t>
                  </w:r>
                </w:p>
              </w:tc>
              <w:tc>
                <w:tcPr>
                  <w:tcW w:w="600" w:type="pct"/>
                  <w:vAlign w:val="top"/>
                </w:tcPr>
                <w:p>
                  <w:r>
                    <w:t xml:space="preserve">All</w:t>
                  </w:r>
                </w:p>
              </w:tc>
              <w:tc>
                <w:tcPr>
                  <w:tcW w:w="750" w:type="pct"/>
                  <w:vAlign w:val="top"/>
                </w:tcPr>
                <w:p>
                  <w:r>
                    <w:t xml:space="preserve">All (except for carer—primary status, residency status, age group – items 12b,c,e)</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Advocacy, information and alternative forms of communication 6.01-6.05</w:t>
                  </w:r>
                </w:p>
              </w:tc>
              <w:tc>
                <w:tcPr>
                  <w:tcW w:w="600" w:type="pct"/>
                  <w:vAlign w:val="top"/>
                </w:tcPr>
                <w:p>
                  <w:r>
                    <w:t xml:space="preserve">All</w:t>
                  </w:r>
                </w:p>
              </w:tc>
              <w:tc>
                <w:tcPr>
                  <w:tcW w:w="750" w:type="pct"/>
                  <w:vAlign w:val="top"/>
                </w:tcPr>
                <w:p>
                  <w:r>
                    <w:t xml:space="preserve">None</w:t>
                  </w:r>
                </w:p>
              </w:tc>
              <w:tc>
                <w:tcPr>
                  <w:tcW w:w="2100" w:type="pct"/>
                  <w:vAlign w:val="top"/>
                </w:tcPr>
                <w:p>
                  <w:r>
                    <w:t xml:space="preserve">None</w:t>
                  </w:r>
                </w:p>
              </w:tc>
            </w:tr>
            <w:tr>
              <w:trPr/>
              <w:tc>
                <w:tcPr>
                  <w:tcW w:w="1450" w:type="pct"/>
                  <w:vAlign w:val="top"/>
                </w:tcPr>
                <w:p>
                  <w:r>
                    <w:t xml:space="preserve">CSTDA Other support 7.01-7.04</w:t>
                  </w:r>
                </w:p>
              </w:tc>
              <w:tc>
                <w:tcPr>
                  <w:tcW w:w="600" w:type="pct"/>
                  <w:vAlign w:val="top"/>
                </w:tcPr>
                <w:p>
                  <w:r>
                    <w:t xml:space="preserve">All (except Service provider organisation—number of clients, total people N[NNNN])</w:t>
                  </w:r>
                </w:p>
              </w:tc>
              <w:tc>
                <w:tcPr>
                  <w:tcW w:w="750" w:type="pct"/>
                  <w:vAlign w:val="top"/>
                </w:tcPr>
                <w:p>
                  <w:r>
                    <w:t xml:space="preserve">None</w:t>
                  </w:r>
                </w:p>
              </w:tc>
              <w:tc>
                <w:tcPr>
                  <w:tcW w:w="2100" w:type="pct"/>
                  <w:vAlign w:val="top"/>
                </w:tcPr>
                <w:p>
                  <w:r>
                    <w:t xml:space="preserve">None</w:t>
                  </w:r>
                </w:p>
              </w:tc>
            </w:tr>
          </w:tbl>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funded under the CSTDA to provide residential accommodation and respite services from one location or funded to provide group homes in three separate locations. A separate service type outlet form is completed for each service type the agency is funded to provide under the CSTDA. If a service user receives more than one service type in the reporting period, a separate service user form is completed for each service type received.</w:t>
            </w:r>
          </w:p>
          <w:p>
            <w:r>
              <w:rPr>
                <w:b/>
              </w:rPr>
              <w:t xml:space="preserve">Statistical units:</w:t>
            </w:r>
          </w:p>
          <w:p>
            <w:r>
              <w:t xml:space="preserve">Service type outlets, service users</w:t>
            </w:r>
          </w:p>
          <w:p>
            <w:r>
              <w:rPr>
                <w:b/>
              </w:rPr>
              <w:t xml:space="preserve">Reporting period:</w:t>
            </w:r>
          </w:p>
          <w:p>
            <w:r>
              <w:t xml:space="preserve">CSTDA-funded agencies are asked to record key information about service users on an ongoing basis, so that they can transmit the required information at the end of each ‘reporting period’. Most jurisdictions have set their reporting period (and will therefore ask for information to be transmitted) at the end of each financial year quarter. Some will still only require information to be transmitted at the end of a financial year.</w:t>
            </w:r>
          </w:p>
          <w:p>
            <w:r>
              <w:rPr>
                <w:b/>
              </w:rPr>
              <w:t xml:space="preserve">Reference week:</w:t>
            </w:r>
          </w:p>
          <w:p>
            <w:r>
              <w:t xml:space="preserve">The annual reference week is the 7-day week preceding the end of the financial year (i.e. 24 June to 30 June).</w:t>
            </w:r>
          </w:p>
          <w:p>
            <w:r>
              <w:rPr>
                <w:b/>
              </w:rPr>
              <w:t xml:space="preserve">Snapshot day:</w:t>
            </w:r>
          </w:p>
          <w:p>
            <w:r>
              <w:t xml:space="preserve">Collection of annual snapshot day data is essential to ensure continuity of data interpretation. The snapshot day for each year is generally the last Wednesday in June.</w:t>
            </w:r>
          </w:p>
          <w:p>
            <w:r>
              <w:rPr>
                <w:b/>
              </w:rPr>
              <w:t xml:space="preserve">Privacy:</w:t>
            </w:r>
          </w:p>
          <w:p>
            <w:r>
              <w:t xml:space="preserve">CSTDA NMDS collections conducted in each jurisdiction must comply with Commonwealth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fefbf96f5f4aa3">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75516a5f0247dd">
              <w:r>
                <w:rPr>
                  <w:rStyle w:val="Hyperlink"/>
                </w:rPr>
                <w:t xml:space="preserve">Commonwealth State/Territory Disability Agreement NMDS  - 1 July 2006</w:t>
              </w:r>
            </w:hyperlink>
          </w:p>
          <w:p>
            <w:pPr>
              <w:pStyle w:val="registration-status"/>
              <w:spacing w:before="0" w:after="0"/>
            </w:pPr>
            <w:hyperlink w:history="true" r:id="R4a0312ad553f4395">
              <w:r>
                <w:rPr>
                  <w:rStyle w:val="Hyperlink"/>
                  <w:color w:val="244061"/>
                </w:rPr>
                <w:t xml:space="preserve">Community Services (retired)</w:t>
              </w:r>
            </w:hyperlink>
            <w:r>
              <w:rPr>
                <w:rStyle w:val="row-content"/>
                <w:color w:val="244061"/>
              </w:rPr>
              <w:t xml:space="preserve">, Superseded 14/12/2008</w:t>
            </w:r>
          </w:p>
          <w:p>
            <w:r>
              <w:br/>
            </w:r>
            <w:r>
              <w:rPr>
                <w:rStyle w:val="row-content"/>
              </w:rPr>
              <w:t xml:space="preserve">Has been superseded by </w:t>
            </w:r>
            <w:hyperlink w:history="true" r:id="Rf04c07f86bff47f9">
              <w:r>
                <w:rPr>
                  <w:rStyle w:val="Hyperlink"/>
                </w:rPr>
                <w:t xml:space="preserve">Disability Services NMDS 2009-10</w:t>
              </w:r>
            </w:hyperlink>
          </w:p>
          <w:p>
            <w:pPr>
              <w:pStyle w:val="registration-status"/>
              <w:spacing w:before="0" w:after="0"/>
            </w:pPr>
            <w:hyperlink w:history="true" r:id="Ra6f176ec88134bac">
              <w:r>
                <w:rPr>
                  <w:rStyle w:val="Hyperlink"/>
                  <w:color w:val="244061"/>
                </w:rPr>
                <w:t xml:space="preserve">Community Services (retired)</w:t>
              </w:r>
            </w:hyperlink>
            <w:r>
              <w:rPr>
                <w:rStyle w:val="row-content"/>
                <w:color w:val="244061"/>
              </w:rPr>
              <w:t xml:space="preserve">, Superseded 15/12/2011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ef7ab779264ecf">
                    <w:r>
                      <w:rPr>
                        <w:rStyle w:val="Hyperlink"/>
                      </w:rPr>
                      <w:t xml:space="preserve">Client—amount of assistance, total hours NNN</w:t>
                    </w:r>
                  </w:hyperlink>
                </w:p>
                <w:p>
                  <w:r>
                    <w:rPr>
                      <w:b/>
                      <w:i/>
                      <w:color w:val="333333"/>
                    </w:rPr>
                    <w:t xml:space="preserve">DSS specific information:</w:t>
                  </w:r>
                </w:p>
                <w:p>
                  <w:r>
                    <w:t xml:space="preserve">This data element must be collected twice within the CSTDA NMDS.</w:t>
                  </w:r>
                </w:p>
                <w:p>
                  <w:r>
                    <w:t xml:space="preserve">1. The number of hours of support received by a service user for a service type for the week preceding the end of the reporting period (the 7-day </w:t>
                  </w:r>
                  <w:r>
                    <w:rPr>
                      <w:b/>
                      <w:i/>
                    </w:rPr>
                    <w:t xml:space="preserve">reference</w:t>
                  </w:r>
                  <w:r>
                    <w:t xml:space="preserve"> week);and</w:t>
                  </w:r>
                </w:p>
                <w:p>
                  <w:r>
                    <w:t xml:space="preserve">2. The number of hours of support received by a service user for a service type for a </w:t>
                  </w:r>
                  <w:r>
                    <w:rPr>
                      <w:b/>
                      <w:i/>
                    </w:rPr>
                    <w:t xml:space="preserve">typical</w:t>
                  </w:r>
                  <w:r>
                    <w:t xml:space="preserve"> 7-day week.</w:t>
                  </w:r>
                </w:p>
                <w:p>
                  <w:r>
                    <w:t xml:space="preserve">The total hours reported should be rounded up to the nearest whole hour.</w:t>
                  </w:r>
                </w:p>
                <w:p>
                  <w:r>
                    <w:t xml:space="preserve">Where less than one hour was received, agencies may record </w:t>
                  </w:r>
                  <w:r>
                    <w:rPr>
                      <w:i/>
                    </w:rPr>
                    <w:t xml:space="preserve">‘900’.</w:t>
                  </w:r>
                </w:p>
                <w:p>
                  <w:r>
                    <w:t xml:space="preserve">Note: The concept of a typical week may not apply to some service users. In these cases service type outlets may calculate this data element as an average of the actual hours received by the service user over the reporting period.</w:t>
                  </w:r>
                </w:p>
                <w:p>
                  <w:r>
                    <w:t xml:space="preserve">This item may be collected in one of two ways:</w:t>
                  </w:r>
                </w:p>
                <w:p>
                  <w:pPr>
                    <w:pStyle w:val="ListParagraph"/>
                    <w:numPr>
                      <w:ilvl w:val="0"/>
                      <w:numId w:val="4"/>
                    </w:numPr>
                  </w:pPr>
                  <w:r>
                    <w:t xml:space="preserve">As an average of the actual hours received by this service user in a typical week (over the reporting period). That is, this item is derived from the 'total hours received during the reporting period'.</w:t>
                  </w:r>
                  <w:r>
                    <w:br/>
                  </w:r>
                  <w:r>
                    <w:t xml:space="preserve">OR</w:t>
                  </w:r>
                </w:p>
                <w:p>
                  <w:pPr>
                    <w:pStyle w:val="ListParagraph"/>
                    <w:numPr>
                      <w:ilvl w:val="0"/>
                      <w:numId w:val="4"/>
                    </w:numPr>
                  </w:pPr>
                  <w:r>
                    <w:t xml:space="preserve">The service user's usual or typical weekly pattern of support while receiving your service in the reporting period. This enables service type outlets to indicate whether or not the reference week was typical.</w:t>
                  </w:r>
                </w:p>
                <w:p>
                  <w:r>
                    <w:t xml:space="preserve">If a service type outlet is funded to provide service type 2.06 Case management, local coordination and development, the following rules apply for calculating </w:t>
                  </w:r>
                  <w:r>
                    <w:rPr>
                      <w:i/>
                    </w:rPr>
                    <w:t xml:space="preserve">Hours of assistance</w:t>
                  </w:r>
                  <w:r>
                    <w:t xml:space="preserve">:</w:t>
                  </w:r>
                </w:p>
                <w:p>
                  <w:pPr>
                    <w:pStyle w:val="ListParagraph"/>
                    <w:numPr>
                      <w:ilvl w:val="0"/>
                      <w:numId w:val="5"/>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t xml:space="preserve">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CSTDA-funded).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c6112e0fd24848">
                    <w:r>
                      <w:rPr>
                        <w:rStyle w:val="Hyperlink"/>
                      </w:rPr>
                      <w:t xml:space="preserve">Date—estimate indicator, code N</w:t>
                    </w:r>
                  </w:hyperlink>
                </w:p>
                <w:p>
                  <w:r>
                    <w:rPr>
                      <w:b/>
                      <w:i/>
                      <w:color w:val="333333"/>
                    </w:rPr>
                    <w:t xml:space="preserve">DSS specific information:</w:t>
                  </w:r>
                </w:p>
                <w:p>
                  <w:r>
                    <w:t xml:space="preserve">If the service user's date of birth has been entered as 01/01, because the exact date of birth was not known, then the date estimate flag box should be ticked.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057b386da542e6">
                    <w:r>
                      <w:rPr>
                        <w:rStyle w:val="Hyperlink"/>
                      </w:rPr>
                      <w:t xml:space="preserve">Informal carer—co-residency status, code N</w:t>
                    </w:r>
                  </w:hyperlink>
                </w:p>
                <w:p>
                  <w:r>
                    <w:rPr>
                      <w:b/>
                      <w:i/>
                      <w:color w:val="333333"/>
                    </w:rPr>
                    <w:t xml:space="preserve">DSS specific information:</w:t>
                  </w:r>
                </w:p>
                <w:p>
                  <w:r>
                    <w:t xml:space="preserve">It is recognised that two or more people may equally share the caring role (e.g. mother and father) however, for the purposes of the CSTDA NMDS collection, characteristics are only required for one of these carers. The expressed views of the service user and/or their carer(s) or significant other should be used as the basis for determining this.</w:t>
                  </w:r>
                </w:p>
                <w:p>
                  <w:r>
                    <w:t xml:space="preserve">An informal carer is someone, such as family member, friend or neighbour, who has been identified as providing regular and sustained care and assistance to the person requiring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672c454b634bc4">
                    <w:r>
                      <w:rPr>
                        <w:rStyle w:val="Hyperlink"/>
                      </w:rPr>
                      <w:t xml:space="preserve">Informal carer—primary status, code N</w:t>
                    </w:r>
                  </w:hyperlink>
                </w:p>
                <w:p>
                  <w:r>
                    <w:rPr>
                      <w:b/>
                      <w:i/>
                      <w:color w:val="333333"/>
                    </w:rPr>
                    <w:t xml:space="preserve">DSS specific information:</w:t>
                  </w:r>
                </w:p>
                <w:p>
                  <w:r>
                    <w:t xml:space="preserve">This data element should only be reported in relation to service users that have a carer (Person—Informal carer existence indicator,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00b3f5bdce4faa">
                    <w:r>
                      <w:rPr>
                        <w:rStyle w:val="Hyperlink"/>
                      </w:rPr>
                      <w:t xml:space="preserve">Informal carer—relationship to care recipient, CSTDA code N[N]</w:t>
                    </w:r>
                  </w:hyperlink>
                </w:p>
                <w:p>
                  <w:r>
                    <w:rPr>
                      <w:b/>
                      <w:i/>
                      <w:color w:val="333333"/>
                    </w:rPr>
                    <w:t xml:space="preserve">DSS specific information:</w:t>
                  </w:r>
                </w:p>
                <w:p>
                  <w:r>
                    <w:t xml:space="preserve">This data element should only be reported in relation to service users that have a carer.</w:t>
                  </w:r>
                </w:p>
                <w:p>
                  <w: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CSTDA NMDS collection, characteristics are only requested for one of these carers. The expressed views of the service user and/or their carer or significant other should be used as the basis for determining which carer should be considered to be the main carer in this regard.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3a732aa4114268">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CSTDA service users aged 16 years or more.</w:t>
                  </w:r>
                </w:p>
                <w:p>
                  <w:r>
                    <w:t xml:space="preserve">CODE 3 is used to record responses where the item is 'not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c4d3a6f86c4dcd">
                    <w:r>
                      <w:rPr>
                        <w:rStyle w:val="Hyperlink"/>
                      </w:rPr>
                      <w:t xml:space="preserve">Person (address)—Australian postcode, code (Postcode datafile) {NNNN}</w:t>
                    </w:r>
                  </w:hyperlink>
                </w:p>
                <w:p>
                  <w:r>
                    <w:rPr>
                      <w:b/>
                      <w:i/>
                      <w:color w:val="333333"/>
                    </w:rPr>
                    <w:t xml:space="preserve">DSS specific information:</w:t>
                  </w:r>
                </w:p>
                <w:p>
                  <w:r>
                    <w:t xml:space="preserve">In the CSTDA NMDS, this data element refers to the postcode of a service user's usual residence ('usual' means 4 or more days per week on average).</w:t>
                  </w:r>
                </w:p>
                <w:p>
                  <w:r>
                    <w:t xml:space="preserve">This data element is used in CSTDA to capture the postcode of the 'geographic location' of a person, not their postal address postcode. The CSTDA NMDS collection defines ‘usual’ as where the person usually resides for four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c0c7e8810f45e4">
                    <w:r>
                      <w:rPr>
                        <w:rStyle w:val="Hyperlink"/>
                      </w:rPr>
                      <w:t xml:space="preserve">Person (with a disability)—disability group,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0768fa2db942ec">
                    <w:r>
                      <w:rPr>
                        <w:rStyle w:val="Hyperlink"/>
                      </w:rPr>
                      <w:t xml:space="preserve">Person—activity and participation life area, code (ICF 2001) AN[NNN]</w:t>
                    </w:r>
                  </w:hyperlink>
                </w:p>
                <w:p>
                  <w:r>
                    <w:rPr>
                      <w:b/>
                      <w:i/>
                      <w:color w:val="333333"/>
                    </w:rPr>
                    <w:t xml:space="preserve">DSS specific information:</w:t>
                  </w:r>
                </w:p>
                <w:p>
                  <w:r>
                    <w:t xml:space="preserve">This data element should be reported in conjunction with the data element 'assistance with activities' regarding the level of help and/or supervision that a CSTDA service user requires.</w:t>
                  </w:r>
                </w:p>
                <w:p>
                  <w:r>
                    <w:t xml:space="preserve">Mapping to ICF codes.</w:t>
                  </w:r>
                </w:p>
                <w:p>
                  <w:r>
                    <w:t xml:space="preserve">a) Self-care - Self-care (d510-d599)</w:t>
                  </w:r>
                </w:p>
                <w:p>
                  <w:r>
                    <w:t xml:space="preserve">b) Mobility - Mobility (d410-d499)</w:t>
                  </w:r>
                </w:p>
                <w:p>
                  <w:r>
                    <w:t xml:space="preserve">c) Communication - Communication (d310-d399)</w:t>
                  </w:r>
                </w:p>
                <w:p>
                  <w:r>
                    <w:t xml:space="preserve">d) Interpersonal interactions and relationships - Interpersonal interactions and relationships (d710-d799)</w:t>
                  </w:r>
                </w:p>
                <w:p>
                  <w:r>
                    <w:t xml:space="preserve">e) Learning, applying knowledge and general tasks and demands - Learning and applying knowledge (d110-d199) and General tasks and demands (d210-d299)</w:t>
                  </w:r>
                </w:p>
                <w:p>
                  <w:r>
                    <w:t xml:space="preserve">f) Education - Education (d810-d839)</w:t>
                  </w:r>
                </w:p>
                <w:p>
                  <w:r>
                    <w:t xml:space="preserve">g) Community (civic) and economic life - Community, social and civic life (d910-d999)</w:t>
                  </w:r>
                </w:p>
                <w:p>
                  <w:r>
                    <w:t xml:space="preserve">h) Domestic life - Domestic life (d610-699)</w:t>
                  </w:r>
                </w:p>
                <w:p>
                  <w:r>
                    <w:t xml:space="preserve">i) Working - Work and employment (d840-859)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c676b1f01740c2">
                    <w:r>
                      <w:rPr>
                        <w:rStyle w:val="Hyperlink"/>
                      </w:rPr>
                      <w:t xml:space="preserve">Person—age group,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6cc66e2b7242c4">
                    <w:r>
                      <w:rPr>
                        <w:rStyle w:val="Hyperlink"/>
                      </w:rPr>
                      <w:t xml:space="preserve">Person—communication method, code N</w:t>
                    </w:r>
                  </w:hyperlink>
                </w:p>
                <w:p>
                  <w:r>
                    <w:rPr>
                      <w:b/>
                      <w:i/>
                      <w:color w:val="333333"/>
                    </w:rPr>
                    <w:t xml:space="preserve">DSS specific information:</w:t>
                  </w:r>
                </w:p>
                <w:p>
                  <w:r>
                    <w:t xml:space="preserve">If the communication method varies over time and it is difficult to say what the usual method is, please report the most effective method during the reference week.</w:t>
                  </w:r>
                </w:p>
                <w:p>
                  <w:r>
                    <w:t xml:space="preserve">This data item is used in conjunction with Effective communication indicator.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40f99ff1b74dd3">
                    <w:r>
                      <w:rPr>
                        <w:rStyle w:val="Hyperlink"/>
                      </w:rPr>
                      <w:t xml:space="preserve">Person—country of birth, code (SACC 2008) NNNN</w:t>
                    </w:r>
                  </w:hyperlink>
                </w:p>
                <w:p>
                  <w:r>
                    <w:rPr>
                      <w:b/>
                      <w:i/>
                      <w:color w:val="333333"/>
                    </w:rPr>
                    <w:t xml:space="preserve">DSS specific information:</w:t>
                  </w:r>
                </w:p>
                <w:p>
                  <w: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c0ee3941c34723">
                    <w:r>
                      <w:rPr>
                        <w:rStyle w:val="Hyperlink"/>
                      </w:rPr>
                      <w:t xml:space="preserve">Person—date of birth, DDMMYYYY</w:t>
                    </w:r>
                  </w:hyperlink>
                </w:p>
                <w:p>
                  <w:r>
                    <w:rPr>
                      <w:b/>
                      <w:i/>
                      <w:color w:val="333333"/>
                    </w:rPr>
                    <w:t xml:space="preserve">DSS specific information:</w:t>
                  </w:r>
                </w:p>
                <w:p>
                  <w:r>
                    <w:t xml:space="preserve">In the CSTDA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service type outlets do not record estimated dates of birth by using ‘00’ for the day, month or year as this would not be considered a valid date by the system processing the data.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2121646674e48">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6e176af0fb41e4">
                    <w:r>
                      <w:rPr>
                        <w:rStyle w:val="Hyperlink"/>
                      </w:rPr>
                      <w:t xml:space="preserve">Person—funding indicator, code N</w:t>
                    </w:r>
                  </w:hyperlink>
                </w:p>
                <w:p>
                  <w:r>
                    <w:rPr>
                      <w:b/>
                      <w:i/>
                      <w:color w:val="333333"/>
                    </w:rPr>
                    <w:t xml:space="preserve">DSS specific information:</w:t>
                  </w:r>
                </w:p>
                <w:p>
                  <w:r>
                    <w:t xml:space="preserve">Examples of individualised funding include (from disability services):</w:t>
                  </w:r>
                </w:p>
                <w:p>
                  <w:pPr>
                    <w:pStyle w:val="ListParagraph"/>
                    <w:numPr>
                      <w:ilvl w:val="0"/>
                      <w:numId w:val="6"/>
                    </w:numPr>
                  </w:pPr>
                  <w:r>
                    <w:t xml:space="preserve">in Western Australia - Intensive Family Support funding;</w:t>
                  </w:r>
                </w:p>
                <w:p>
                  <w:pPr>
                    <w:pStyle w:val="ListParagraph"/>
                    <w:numPr>
                      <w:ilvl w:val="0"/>
                      <w:numId w:val="6"/>
                    </w:numPr>
                  </w:pPr>
                  <w:r>
                    <w:t xml:space="preserve">in Queensland - Adult Lifestyle Support Packages, family support programs and post-school programs;</w:t>
                  </w:r>
                </w:p>
                <w:p>
                  <w:pPr>
                    <w:pStyle w:val="ListParagraph"/>
                    <w:numPr>
                      <w:ilvl w:val="0"/>
                      <w:numId w:val="6"/>
                    </w:numPr>
                  </w:pPr>
                  <w:r>
                    <w:t xml:space="preserve">in Australian Government-funded programs - Case Based Funding (CBF) and Futures for Young Adults (FFYA);</w:t>
                  </w:r>
                </w:p>
                <w:p>
                  <w:pPr>
                    <w:pStyle w:val="ListParagraph"/>
                    <w:numPr>
                      <w:ilvl w:val="0"/>
                      <w:numId w:val="6"/>
                    </w:numPr>
                  </w:pPr>
                  <w:r>
                    <w:t xml:space="preserve">in the ACT - Individual Support Packages;</w:t>
                  </w:r>
                </w:p>
                <w:p>
                  <w:pPr>
                    <w:pStyle w:val="ListParagraph"/>
                    <w:numPr>
                      <w:ilvl w:val="0"/>
                      <w:numId w:val="6"/>
                    </w:numPr>
                  </w:pPr>
                  <w:r>
                    <w:t xml:space="preserve">in Victoria - Futures for Young Adults (FFYA), Flexible care packages (Making a Difference (MaD), HomeFirst, Family Choice Program and Continuity of Care State-wide Fund);</w:t>
                  </w:r>
                </w:p>
                <w:p>
                  <w:pPr>
                    <w:pStyle w:val="ListParagraph"/>
                    <w:numPr>
                      <w:ilvl w:val="0"/>
                      <w:numId w:val="6"/>
                    </w:numPr>
                  </w:pPr>
                  <w:r>
                    <w:t xml:space="preserve">in Tasmania—Individual Support Program (ISP), and Supporting Individual Pathways; and</w:t>
                  </w:r>
                </w:p>
                <w:p>
                  <w:pPr>
                    <w:pStyle w:val="ListParagraph"/>
                    <w:numPr>
                      <w:ilvl w:val="0"/>
                      <w:numId w:val="6"/>
                    </w:numPr>
                  </w:pPr>
                  <w:r>
                    <w:t xml:space="preserve">in the Northern Territory - Client Focussed Funding (CFF). </w:t>
                  </w:r>
                </w:p>
                <w:p>
                  <w:r>
                    <w:t xml:space="preserve">If a service outlet manages a program or package that does not meet one or more of the criteria for individualised funding then it should not be reported as an individualised package.</w:t>
                  </w:r>
                </w:p>
                <w:p>
                  <w:r>
                    <w:t xml:space="preserve">This data element assists in monitoring trends over time in individualised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9a2d1719c473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137fefc1a74cc1">
                    <w:r>
                      <w:rPr>
                        <w:rStyle w:val="Hyperlink"/>
                      </w:rPr>
                      <w:t xml:space="preserve">Person—informal carer existence indicator, code N</w:t>
                    </w:r>
                  </w:hyperlink>
                </w:p>
                <w:p>
                  <w:r>
                    <w:rPr>
                      <w:b/>
                      <w:i/>
                      <w:color w:val="333333"/>
                    </w:rPr>
                    <w:t xml:space="preserve">DSS specific information:</w:t>
                  </w:r>
                </w:p>
                <w:p>
                  <w:r>
                    <w:t xml:space="preserve"> </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a648b139dc470f">
                    <w:r>
                      <w:rPr>
                        <w:rStyle w:val="Hyperlink"/>
                      </w:rPr>
                      <w:t xml:space="preserve">Person—interpreter service required, yes/no code N</w:t>
                    </w:r>
                  </w:hyperlink>
                </w:p>
                <w:p>
                  <w:r>
                    <w:rPr>
                      <w:b/>
                      <w:i/>
                      <w:color w:val="333333"/>
                    </w:rPr>
                    <w:t xml:space="preserve">DSS specific information:</w:t>
                  </w:r>
                </w:p>
                <w:p>
                  <w:r>
                    <w:t xml:space="preserve">Whether an interpreter service is required as perceived by the person.</w:t>
                  </w:r>
                </w:p>
                <w:p>
                  <w:r>
                    <w:t xml:space="preserve">Yes includes spoken language other than English and non-spoken communication.</w:t>
                  </w:r>
                </w:p>
                <w:p>
                  <w:r>
                    <w:t xml:space="preserve">This item is used in conjunction with the type of interpreter services required by a person.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215dfbcf014aee">
                    <w:r>
                      <w:rPr>
                        <w:rStyle w:val="Hyperlink"/>
                      </w:rPr>
                      <w:t xml:space="preserve">Person—labour force status, code N</w:t>
                    </w:r>
                  </w:hyperlink>
                </w:p>
                <w:p>
                  <w:r>
                    <w:rPr>
                      <w:b/>
                      <w:i/>
                      <w:color w:val="333333"/>
                    </w:rPr>
                    <w:t xml:space="preserve">DSS specific information:</w:t>
                  </w:r>
                </w:p>
                <w:p>
                  <w:r>
                    <w:t xml:space="preserve">This data element should only be reported for service users aged 15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2d124f756e4589">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e203b4d4404960">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d340acfa92482b">
                    <w:r>
                      <w:rPr>
                        <w:rStyle w:val="Hyperlink"/>
                      </w:rPr>
                      <w:t xml:space="preserve">Person—living arrangement, code N</w:t>
                    </w:r>
                  </w:hyperlink>
                </w:p>
                <w:p>
                  <w:r>
                    <w:rPr>
                      <w:b/>
                      <w:i/>
                      <w:color w:val="333333"/>
                    </w:rPr>
                    <w:t xml:space="preserve">DSS specific information:</w:t>
                  </w:r>
                </w:p>
                <w:p>
                  <w:r>
                    <w:t xml:space="preserve"> </w:t>
                  </w:r>
                </w:p>
                <w:p>
                  <w:r>
                    <w:t xml:space="preserve">The CSTDA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In most instances, homeless people should be coded as living alone.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8303af96a04980">
                    <w:r>
                      <w:rPr>
                        <w:rStyle w:val="Hyperlink"/>
                      </w:rPr>
                      <w:t xml:space="preserve">Person—need for assistance with activities in a life area,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aaf92b4bcb4edf">
                    <w:r>
                      <w:rPr>
                        <w:rStyle w:val="Hyperlink"/>
                      </w:rPr>
                      <w:t xml:space="preserve">Person—residential setting,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a6e4ff2513488a">
                    <w:r>
                      <w:rPr>
                        <w:rStyle w:val="Hyperlink"/>
                      </w:rPr>
                      <w:t xml:space="preserve">Person—service received indicator, code N</w:t>
                    </w:r>
                  </w:hyperlink>
                </w:p>
                <w:p>
                  <w:r>
                    <w:rPr>
                      <w:b/>
                      <w:i/>
                      <w:color w:val="333333"/>
                    </w:rPr>
                    <w:t xml:space="preserve">DSS specific information:</w:t>
                  </w:r>
                </w:p>
                <w:p>
                  <w:r>
                    <w:t xml:space="preserve"> </w:t>
                  </w:r>
                </w:p>
                <w:p>
                  <w:r>
                    <w:t xml:space="preserve">In the CSTDA NMDS, this data element refers to whether or not the person received the CSTDA-funded service type on the specified snapshot date.</w:t>
                  </w:r>
                </w:p>
                <w:p>
                  <w:r>
                    <w:t xml:space="preserve">Actual snapshot dates are agreed upon by funding departments.</w:t>
                  </w:r>
                </w:p>
                <w:p>
                  <w:r>
                    <w:t xml:space="preserve">This data element will be reported by service type outlets once per year, regardless of whether service type outlets provide quarterly or six-monthly data transmissions to funding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a8be245b3e40b8">
                    <w:r>
                      <w:rPr>
                        <w:rStyle w:val="Hyperlink"/>
                      </w:rPr>
                      <w:t xml:space="preserve">Person—sex, code N</w:t>
                    </w:r>
                  </w:hyperlink>
                </w:p>
                <w:p>
                  <w:r>
                    <w:rPr>
                      <w:b/>
                      <w:i/>
                      <w:color w:val="333333"/>
                    </w:rPr>
                    <w:t xml:space="preserve">DSS specific information:</w:t>
                  </w:r>
                </w:p>
                <w:p>
                  <w:r>
                    <w:t xml:space="preserve">Code 3 Intersex or indeterminate is not used in the CSTDA NMDS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6a761868e499b">
                    <w:r>
                      <w:rPr>
                        <w:rStyle w:val="Hyperlink"/>
                      </w:rPr>
                      <w:t xml:space="preserve">Person—source of cash income (principal),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1756d075b54a8b">
                    <w:r>
                      <w:rPr>
                        <w:rStyle w:val="Hyperlink"/>
                      </w:rPr>
                      <w:t xml:space="preserve">Person—type of interpreter service required, code N</w:t>
                    </w:r>
                  </w:hyperlink>
                </w:p>
                <w:p>
                  <w:r>
                    <w:rPr>
                      <w:b/>
                      <w:i/>
                      <w:color w:val="333333"/>
                    </w:rPr>
                    <w:t xml:space="preserve">DSS specific information:</w:t>
                  </w:r>
                </w:p>
                <w:p>
                  <w:r>
                    <w:t xml:space="preserve">This data element must be completed if a response of Yes (code 1) is recorded in response to the question of whether an interpreter service is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57f783f444a77">
                    <w:r>
                      <w:rPr>
                        <w:rStyle w:val="Hyperlink"/>
                      </w:rPr>
                      <w:t xml:space="preserve">Record—identifier (CSTDA), N[N(7)]</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9c7466f29a423b">
                    <w:r>
                      <w:rPr>
                        <w:rStyle w:val="Hyperlink"/>
                      </w:rPr>
                      <w:t xml:space="preserve">Service episode—episode end date, DDMMYYYY</w:t>
                    </w:r>
                  </w:hyperlink>
                </w:p>
                <w:p>
                  <w:r>
                    <w:rPr>
                      <w:b/>
                      <w:i/>
                      <w:color w:val="333333"/>
                    </w:rPr>
                    <w:t xml:space="preserve">DSS specific information:</w:t>
                  </w:r>
                </w:p>
                <w:p>
                  <w:r>
                    <w:t xml:space="preserve">This data element should only be reported for CSTDA service users who have ceased receiving CSTDA-funded services from the service type outlet.</w:t>
                  </w:r>
                </w:p>
                <w:p>
                  <w:r>
                    <w:t xml:space="preserve">A service user is considered to leave a service when either:</w:t>
                  </w:r>
                </w:p>
                <w:p>
                  <w:pPr>
                    <w:pStyle w:val="ListParagraph"/>
                    <w:numPr>
                      <w:ilvl w:val="0"/>
                      <w:numId w:val="7"/>
                    </w:numPr>
                  </w:pPr>
                  <w:r>
                    <w:t xml:space="preserve">the service user ends the support relationship with the service outlet; or</w:t>
                  </w:r>
                </w:p>
                <w:p>
                  <w:pPr>
                    <w:pStyle w:val="ListParagraph"/>
                    <w:numPr>
                      <w:ilvl w:val="0"/>
                      <w:numId w:val="7"/>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5fadf815a24353">
                    <w:r>
                      <w:rPr>
                        <w:rStyle w:val="Hyperlink"/>
                      </w:rPr>
                      <w:t xml:space="preserve">Service episode—episode start date, DDMMYYYY</w:t>
                    </w:r>
                  </w:hyperlink>
                </w:p>
                <w:p>
                  <w:r>
                    <w:rPr>
                      <w:b/>
                      <w:i/>
                      <w:color w:val="333333"/>
                    </w:rPr>
                    <w:t xml:space="preserve">DSS specific information:</w:t>
                  </w:r>
                </w:p>
                <w:p>
                  <w:r>
                    <w:t xml:space="preserve">A service is a support activity delivered to a person, in accord with the CSTDA. Services within the scope of the collection are those for which funding has been provided, during the specified period, by a government organisation operating under the CSTDA.</w:t>
                  </w:r>
                </w:p>
                <w:p>
                  <w:r>
                    <w:t xml:space="preserve">A service user is considered to have started receiving a CSTDA-funded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CSTDA-funded,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Existing service users (i.e. those who commenced services prior to October 2002), should either be recorded as commencing the service type on:</w:t>
                  </w:r>
                </w:p>
                <w:p>
                  <w:pPr>
                    <w:pStyle w:val="ListParagraph"/>
                    <w:numPr>
                      <w:ilvl w:val="0"/>
                      <w:numId w:val="8"/>
                    </w:numPr>
                  </w:pPr>
                  <w:r>
                    <w:t xml:space="preserve">their known service start date, for example, a service user starting on 2 September 2002 may be recorded as 02092002;</w:t>
                  </w:r>
                </w:p>
                <w:p>
                  <w:pPr>
                    <w:pStyle w:val="ListParagraph"/>
                    <w:numPr>
                      <w:ilvl w:val="0"/>
                      <w:numId w:val="8"/>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8"/>
                    </w:numPr>
                  </w:pPr>
                  <w:r>
                    <w:t xml:space="preserve">on 1 October 2002 (i.e. 01102002). This option is used if the start date is unknown or cannot be recorded for some other reason. </w:t>
                  </w:r>
                </w:p>
                <w:p>
                  <w:r>
                    <w:t xml:space="preserve">Start date, in conjunction with last service provision date, or exit date, gives some indication of length of stay of service users in the CSTDA program and of the intensity of service provision. In conjunction with the data element exit date, it can also be used to identify the number of CSTDA-funded service users as at the end of the CSTDA NMDS reporting period, and at any 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d8a30c68e4957">
                    <w:r>
                      <w:rPr>
                        <w:rStyle w:val="Hyperlink"/>
                      </w:rPr>
                      <w:t xml:space="preserve">Service episode—service cessation reason,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51ae80d594914">
                    <w:r>
                      <w:rPr>
                        <w:rStyle w:val="Hyperlink"/>
                      </w:rPr>
                      <w:t xml:space="preserve">Service event—last service provision date, DDMMYYYY</w:t>
                    </w:r>
                  </w:hyperlink>
                </w:p>
                <w:p>
                  <w:r>
                    <w:rPr>
                      <w:b/>
                      <w:i/>
                      <w:color w:val="333333"/>
                    </w:rPr>
                    <w:t xml:space="preserve">DSS specific information:</w:t>
                  </w:r>
                </w:p>
                <w:p>
                  <w:r>
                    <w:t xml:space="preserve">This item indicates the last time a person received a service during a reporting period. It does not indicate the date that they exited the service,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CSTDA-funded service type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77ce2bb6e4a2c">
                    <w:r>
                      <w:rPr>
                        <w:rStyle w:val="Hyperlink"/>
                      </w:rPr>
                      <w:t xml:space="preserve">Service provider organisation (address)—Australian postcode, code (Postcode datafile) {NNNN}</w:t>
                    </w:r>
                  </w:hyperlink>
                </w:p>
                <w:p>
                  <w:r>
                    <w:rPr>
                      <w:b/>
                      <w:i/>
                      <w:color w:val="333333"/>
                    </w:rPr>
                    <w:t xml:space="preserve">DSS specific information:</w:t>
                  </w:r>
                </w:p>
                <w:p>
                  <w:r>
                    <w:t xml:space="preserve">In the CSTDA NMDS, this data element refers to the postcode of the location of the service type outlet address and not the postal address.</w:t>
                  </w:r>
                </w:p>
                <w:p>
                  <w:r>
                    <w:t xml:space="preserve">If the service type outlet is provided in the person’s home, the postcode of the service base from which the provider operates is to be entered, not that of the person.</w:t>
                  </w:r>
                </w:p>
                <w:p>
                  <w:r>
                    <w:t xml:space="preserve">If recreation services are provided in various locations, the postcode of the service base from which the provider operates is to be entered.</w:t>
                  </w:r>
                </w:p>
                <w:p>
                  <w:r>
                    <w:t xml:space="preserve">This data element is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e1fb56a5fc47b2">
                    <w:r>
                      <w:rPr>
                        <w:rStyle w:val="Hyperlink"/>
                      </w:rPr>
                      <w:t xml:space="preserve">Service provider organisation—Australian state/territory identifier, code N</w:t>
                    </w:r>
                  </w:hyperlink>
                </w:p>
                <w:p>
                  <w:r>
                    <w:rPr>
                      <w:b/>
                      <w:i/>
                      <w:color w:val="333333"/>
                    </w:rPr>
                    <w:t xml:space="preserve">DSS specific information:</w:t>
                  </w:r>
                </w:p>
                <w:p>
                  <w:r>
                    <w:t xml:space="preserve">The CSTDA NMDS uses the AIHW order based on the population of the State or Territory.</w:t>
                  </w:r>
                </w:p>
                <w:p>
                  <w:pPr>
                    <w:pStyle w:val="ListParagraph"/>
                    <w:numPr>
                      <w:ilvl w:val="0"/>
                      <w:numId w:val="9"/>
                    </w:numPr>
                  </w:pPr>
                  <w:r>
                    <w:t xml:space="preserve">New South Wales</w:t>
                  </w:r>
                </w:p>
                <w:p>
                  <w:pPr>
                    <w:pStyle w:val="ListParagraph"/>
                    <w:numPr>
                      <w:ilvl w:val="0"/>
                      <w:numId w:val="9"/>
                    </w:numPr>
                  </w:pPr>
                  <w:r>
                    <w:t xml:space="preserve">Victoria</w:t>
                  </w:r>
                </w:p>
                <w:p>
                  <w:pPr>
                    <w:pStyle w:val="ListParagraph"/>
                    <w:numPr>
                      <w:ilvl w:val="0"/>
                      <w:numId w:val="9"/>
                    </w:numPr>
                  </w:pPr>
                  <w:r>
                    <w:t xml:space="preserve">Queensland</w:t>
                  </w:r>
                </w:p>
                <w:p>
                  <w:pPr>
                    <w:pStyle w:val="ListParagraph"/>
                    <w:numPr>
                      <w:ilvl w:val="0"/>
                      <w:numId w:val="9"/>
                    </w:numPr>
                  </w:pPr>
                  <w:r>
                    <w:t xml:space="preserve">Western Australia</w:t>
                  </w:r>
                </w:p>
                <w:p>
                  <w:pPr>
                    <w:pStyle w:val="ListParagraph"/>
                    <w:numPr>
                      <w:ilvl w:val="0"/>
                      <w:numId w:val="9"/>
                    </w:numPr>
                  </w:pPr>
                  <w:r>
                    <w:t xml:space="preserve">South Australia</w:t>
                  </w:r>
                </w:p>
                <w:p>
                  <w:pPr>
                    <w:pStyle w:val="ListParagraph"/>
                    <w:numPr>
                      <w:ilvl w:val="0"/>
                      <w:numId w:val="9"/>
                    </w:numPr>
                  </w:pPr>
                  <w:r>
                    <w:t xml:space="preserve">Tasmania</w:t>
                  </w:r>
                </w:p>
                <w:p>
                  <w:pPr>
                    <w:pStyle w:val="ListParagraph"/>
                    <w:numPr>
                      <w:ilvl w:val="0"/>
                      <w:numId w:val="9"/>
                    </w:numPr>
                  </w:pPr>
                  <w:r>
                    <w:t xml:space="preserve">Australian Capital Territory</w:t>
                  </w:r>
                </w:p>
                <w:p>
                  <w:pPr>
                    <w:pStyle w:val="ListParagraph"/>
                    <w:numPr>
                      <w:ilvl w:val="0"/>
                      <w:numId w:val="9"/>
                    </w:numPr>
                  </w:pPr>
                  <w:r>
                    <w:t xml:space="preserve">Northern Territory</w:t>
                  </w:r>
                </w:p>
                <w:p>
                  <w:r>
                    <w:t xml:space="preserve">Code 9 Other territories (Cocos (Keeling) Islands, Christmas Island and Jervis Bay Territory) is not applicable to CSTDA-funded services.</w:t>
                  </w:r>
                </w:p>
                <w:p>
                  <w:r>
                    <w:t xml:space="preserve">This data element is used in conjunction with the Level of Government to identify the source of funding and the jurisdiction in which funds are allocated (funding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4e3435411d47c9">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cfeec611c4643">
                    <w:r>
                      <w:rPr>
                        <w:rStyle w:val="Hyperlink"/>
                      </w:rPr>
                      <w:t xml:space="preserve">Service provider organisation—funding allocated, total Australian currency N[N(8)]</w:t>
                    </w:r>
                  </w:hyperlink>
                </w:p>
                <w:p>
                  <w:r>
                    <w:rPr>
                      <w:b/>
                      <w:i/>
                      <w:color w:val="333333"/>
                    </w:rPr>
                    <w:t xml:space="preserve">DSS specific information:</w:t>
                  </w:r>
                </w:p>
                <w:p>
                  <w:r>
                    <w:t xml:space="preserve">CSTDA funding data should relate to the most recent financial year. This data element needs to be reported for all services funded under the CSTDA, both those delivered by government and non-government providers. Where possible CSTDA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t xml:space="preserve">Total CSTDA funds can be provided by the jurisdiction/funding department at various levels-service type outlet, funded agency, or service group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8478f161ad402d">
                    <w:r>
                      <w:rPr>
                        <w:rStyle w:val="Hyperlink"/>
                      </w:rPr>
                      <w:t xml:space="preserve">Service provider organisation—funding source, level of government code N</w:t>
                    </w:r>
                  </w:hyperlink>
                </w:p>
                <w:p>
                  <w:r>
                    <w:rPr>
                      <w:b/>
                      <w:i/>
                      <w:color w:val="333333"/>
                    </w:rPr>
                    <w:t xml:space="preserve">DSS specific information:</w:t>
                  </w:r>
                </w:p>
                <w:p>
                  <w:r>
                    <w:t xml:space="preserve">The data element is used in conjunction with the State and Territory identifier of the service type outlet to identify the jurisdiction in which funds are allocated.</w:t>
                  </w:r>
                </w:p>
                <w:p>
                  <w:r>
                    <w:t xml:space="preserve">Note: Local Government is not applicable to CSTDA funded service type outlets as a source of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58af0b0024db5">
                    <w:r>
                      <w:rPr>
                        <w:rStyle w:val="Hyperlink"/>
                      </w:rPr>
                      <w:t xml:space="preserve">Service provider organisation—geographic location (SLA), code (ASGC 2007) NNNNN</w:t>
                    </w:r>
                  </w:hyperlink>
                </w:p>
                <w:p>
                  <w:r>
                    <w:rPr>
                      <w:b/>
                      <w:i/>
                      <w:color w:val="333333"/>
                    </w:rPr>
                    <w:t xml:space="preserve">DSS specific information:</w:t>
                  </w:r>
                </w:p>
                <w:p>
                  <w:r>
                    <w:t xml:space="preserve">Where this data element is not able to be reported, postcode may be reported instead. Either the geographic location or postcode should be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59e156a5d44d9f">
                    <w:r>
                      <w:rPr>
                        <w:rStyle w:val="Hyperlink"/>
                      </w:rPr>
                      <w:t xml:space="preserve">Service provider organisation—hours worked (paid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paid staff for a service type outlet in the 7-day week preceding the end of the reporting period.</w:t>
                  </w:r>
                </w:p>
                <w:p>
                  <w:r>
                    <w:rPr>
                      <w:b/>
                    </w:rPr>
                    <w:t xml:space="preserve">Typical week:</w:t>
                  </w:r>
                  <w:r>
                    <w:t xml:space="preserve"> The total hours worked by all paid staff for a service type outlet in a typical 7-day week.</w:t>
                  </w:r>
                </w:p>
                <w:p>
                  <w: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t xml:space="preserve">Paid staff hours per service type outlet are requested irrespective of the source of funding. Staff hours information is requested in this way to:</w:t>
                  </w:r>
                </w:p>
                <w:p>
                  <w: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CSTDA funding and partly as a result of funding from other sources and the support of volunteers).</w:t>
                  </w:r>
                </w:p>
                <w:p>
                  <w:r>
                    <w:t xml:space="preserve">If a service type outlet is funded to provide service type 2.06 Case management, local coordination and development, the following rules apply for calculating paid staff hours:</w:t>
                  </w:r>
                </w:p>
                <w:p>
                  <w: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CSTDA-funded). Paid staff hours that are sub-contracted in this way should be included with the paid staff hours allocation for the service type outlet (and the sub-contractor outlet should not report these hours, if they are also included in the CSTDA NMDS.</w:t>
                  </w:r>
                </w:p>
                <w:p>
                  <w:r>
                    <w:t xml:space="preserve">These rules are designed to avoid double counting and duplication of effort by funded agencies.</w:t>
                  </w:r>
                </w:p>
                <w:p>
                  <w:r>
                    <w:rPr>
                      <w:b/>
                      <w:i/>
                    </w:rPr>
                    <w:t xml:space="preserve">Reference week: Collection method</w:t>
                  </w:r>
                </w:p>
                <w:p>
                  <w:r>
                    <w:t xml:space="preserve">This data element reports hours worked by paid staff on behalf of the service type outlet both directly delivered to service users, and indirectly to service users (e.g. indirect hours such as related committee meetings).</w:t>
                  </w:r>
                </w:p>
                <w:p>
                  <w:r>
                    <w:t xml:space="preserve">For the calculation of paid staff hours worked the following should be included:</w:t>
                  </w:r>
                </w:p>
                <w:p>
                  <w:pPr>
                    <w:pStyle w:val="ListParagraph"/>
                    <w:numPr>
                      <w:ilvl w:val="0"/>
                      <w:numId w:val="10"/>
                    </w:numPr>
                  </w:pPr>
                  <w:r>
                    <w:t xml:space="preserve">Paid staff hours worked by administrative staff, managers etc. (i.e. indirect staff relating to this service type outlet).</w:t>
                  </w:r>
                </w:p>
                <w:p>
                  <w:pPr>
                    <w:pStyle w:val="ListParagraph"/>
                    <w:numPr>
                      <w:ilvl w:val="0"/>
                      <w:numId w:val="10"/>
                    </w:numPr>
                  </w:pPr>
                  <w:r>
                    <w:t xml:space="preserve">Paid staff hours worked by Board members relating to the service type.</w:t>
                  </w:r>
                </w:p>
                <w:p>
                  <w:pPr>
                    <w:pStyle w:val="ListParagraph"/>
                    <w:numPr>
                      <w:ilvl w:val="0"/>
                      <w:numId w:val="10"/>
                    </w:numPr>
                  </w:pPr>
                  <w:r>
                    <w:t xml:space="preserve">Paid staff hours worked on committees or at meetings relevant to the service type.</w:t>
                  </w:r>
                </w:p>
                <w:p>
                  <w:pPr>
                    <w:pStyle w:val="ListParagraph"/>
                    <w:numPr>
                      <w:ilvl w:val="0"/>
                      <w:numId w:val="10"/>
                    </w:numPr>
                  </w:pPr>
                  <w:r>
                    <w:t xml:space="preserve">Staff hours worked as paid overtime.</w:t>
                  </w:r>
                </w:p>
                <w:p>
                  <w:pPr>
                    <w:pStyle w:val="ListParagraph"/>
                    <w:numPr>
                      <w:ilvl w:val="0"/>
                      <w:numId w:val="10"/>
                    </w:numPr>
                  </w:pPr>
                  <w:r>
                    <w:t xml:space="preserve">Staff hours worked while staff receiving payment for sleepover duties.</w:t>
                  </w:r>
                </w:p>
                <w:p>
                  <w:pPr>
                    <w:pStyle w:val="ListParagraph"/>
                    <w:numPr>
                      <w:ilvl w:val="0"/>
                      <w:numId w:val="10"/>
                    </w:numPr>
                  </w:pPr>
                  <w:r>
                    <w:t xml:space="preserve">Paid staff hours worked by staff contracted to clean premises.</w:t>
                  </w:r>
                </w:p>
                <w:p>
                  <w:pPr>
                    <w:pStyle w:val="ListParagraph"/>
                    <w:numPr>
                      <w:ilvl w:val="0"/>
                      <w:numId w:val="10"/>
                    </w:numPr>
                  </w:pPr>
                  <w:r>
                    <w:t xml:space="preserve">Staff hours worked by staff receiving training relevant to the service type.</w:t>
                  </w:r>
                </w:p>
                <w:p>
                  <w:r>
                    <w:t xml:space="preserve">The following should be excluded from paid staff hours worked:</w:t>
                  </w:r>
                </w:p>
                <w:p>
                  <w:pPr>
                    <w:pStyle w:val="ListParagraph"/>
                    <w:numPr>
                      <w:ilvl w:val="0"/>
                      <w:numId w:val="11"/>
                    </w:numPr>
                  </w:pPr>
                  <w:r>
                    <w:t xml:space="preserve">Staff hours for workers on leave (including public holidays, paid/unpaid sick leave). This data element relates to staff hours worked, not staff hours paid for).</w:t>
                  </w:r>
                </w:p>
                <w:p>
                  <w:pPr>
                    <w:pStyle w:val="ListParagraph"/>
                    <w:numPr>
                      <w:ilvl w:val="0"/>
                      <w:numId w:val="11"/>
                    </w:numPr>
                  </w:pPr>
                  <w:r>
                    <w:t xml:space="preserve">Staff hours normally worked in positions that are currently vacant.</w:t>
                  </w:r>
                </w:p>
                <w:p>
                  <w:pPr>
                    <w:pStyle w:val="ListParagraph"/>
                    <w:numPr>
                      <w:ilvl w:val="0"/>
                      <w:numId w:val="11"/>
                    </w:numPr>
                  </w:pPr>
                  <w:r>
                    <w:t xml:space="preserve">Staff hours allocated to non-CSTDA service users</w:t>
                  </w:r>
                </w:p>
                <w:p>
                  <w:r>
                    <w:rPr>
                      <w:b/>
                    </w:rPr>
                    <w:t xml:space="preserve">Typical week: Collection method</w:t>
                  </w:r>
                </w:p>
                <w:p>
                  <w:r>
                    <w:t xml:space="preserve">As above but include:</w:t>
                  </w:r>
                </w:p>
                <w:p>
                  <w:pPr>
                    <w:pStyle w:val="ListParagraph"/>
                    <w:numPr>
                      <w:ilvl w:val="0"/>
                      <w:numId w:val="12"/>
                    </w:numPr>
                  </w:pPr>
                  <w:r>
                    <w:t xml:space="preserve">Staff hours for workers on leave (including public holidays, paid/unpaid sick leave). This data element relates to staff hours paid for).</w:t>
                  </w:r>
                </w:p>
                <w:p>
                  <w:pPr>
                    <w:pStyle w:val="ListParagraph"/>
                    <w:numPr>
                      <w:ilvl w:val="0"/>
                      <w:numId w:val="12"/>
                    </w:numPr>
                  </w:pPr>
                  <w:r>
                    <w:t xml:space="preserve">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92e5e0a8db4449">
                    <w:r>
                      <w:rPr>
                        <w:rStyle w:val="Hyperlink"/>
                      </w:rPr>
                      <w:t xml:space="preserve">Service provider organisation—hours worked (volunteer/unpaid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volunteer/unpaid staff for a service type outlet in the 7-day week preceding the end of the reporting period.</w:t>
                  </w:r>
                </w:p>
                <w:p>
                  <w:r>
                    <w:rPr>
                      <w:b/>
                    </w:rPr>
                    <w:t xml:space="preserve">Typical week:</w:t>
                  </w:r>
                  <w:r>
                    <w:t xml:space="preserve"> The total hours worked by all volunteer/unpaid staff for a service type outlet in a typical 7-day week.</w:t>
                  </w:r>
                </w:p>
                <w:p>
                  <w:r>
                    <w:t xml:space="preserve">This data element reports hours worked by volunteer/unpaid staff on behalf of the service type outlet both directly delivered to service users, and indirectly to service users (e.g. indirect hours such as related committee meetings).</w:t>
                  </w:r>
                </w:p>
                <w:p>
                  <w: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pPr>
                    <w:pStyle w:val="ListParagraph"/>
                    <w:numPr>
                      <w:ilvl w:val="0"/>
                      <w:numId w:val="13"/>
                    </w:numPr>
                  </w:pPr>
                  <w:r>
                    <w:t xml:space="preserve">use fortnightly rosters as a starting point;</w:t>
                  </w:r>
                </w:p>
                <w:p>
                  <w:pPr>
                    <w:pStyle w:val="ListParagraph"/>
                    <w:numPr>
                      <w:ilvl w:val="0"/>
                      <w:numId w:val="13"/>
                    </w:numPr>
                  </w:pPr>
                  <w:r>
                    <w:t xml:space="preserve">apportion total volunteer/unpaid staff hours across funded service types;</w:t>
                  </w:r>
                </w:p>
                <w:p>
                  <w:pPr>
                    <w:pStyle w:val="ListParagraph"/>
                    <w:numPr>
                      <w:ilvl w:val="0"/>
                      <w:numId w:val="13"/>
                    </w:numPr>
                  </w:pPr>
                  <w:r>
                    <w:t xml:space="preserve">divide this figure by two to get weekly volunteer/unpaid staff hours for the week preceding the end of the reporting period; and</w:t>
                  </w:r>
                </w:p>
                <w:p>
                  <w:pPr>
                    <w:pStyle w:val="ListParagraph"/>
                    <w:numPr>
                      <w:ilvl w:val="0"/>
                      <w:numId w:val="13"/>
                    </w:numPr>
                  </w:pPr>
                  <w:r>
                    <w:t xml:space="preserve">record the apportioned volunteer/unpaid staff hours to the relevant service type outlet.</w:t>
                  </w:r>
                </w:p>
                <w:p>
                  <w:r>
                    <w:t xml:space="preserve">If a service type outlet is funded to provide service type 2.06 Case management, local coordination and development, the following rules apply for calculating volunteer/unpaid staff hours:</w:t>
                  </w:r>
                </w:p>
                <w:p>
                  <w:pPr>
                    <w:pStyle w:val="ListParagraph"/>
                    <w:numPr>
                      <w:ilvl w:val="0"/>
                      <w:numId w:val="14"/>
                    </w:numPr>
                  </w:pPr>
                  <w:r>
                    <w:t xml:space="preserve">volunteer/unpaid staff hours relating to the case coordination/ management/brokerage activities service type outlets undertake should be recorded (including administrative time, board member time etc. as above);</w:t>
                  </w:r>
                </w:p>
                <w:p>
                  <w:pPr>
                    <w:pStyle w:val="ListParagraph"/>
                    <w:numPr>
                      <w:ilvl w:val="0"/>
                      <w:numId w:val="14"/>
                    </w:numPr>
                  </w:pPr>
                  <w:r>
                    <w:t xml:space="preserve">volunteer/unpaid staff hours that are arranged by a service type outlet for another agency to provide as part of providing service type 2.06 should not be recorded. </w:t>
                  </w:r>
                </w:p>
                <w:p>
                  <w:r>
                    <w:t xml:space="preserve">If a service type outlet sub-contracts the provision of part or all of a service type (other than 2.06) they are funded to provide to another agency:</w:t>
                  </w:r>
                </w:p>
                <w:p>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CSTDA-funded).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CSTDA NMDS.</w:t>
                  </w:r>
                </w:p>
                <w:p>
                  <w:r>
                    <w:t xml:space="preserve">These rules are designed to avoid double counting and duplication of effort by funded agencies/service type outlets.</w:t>
                  </w:r>
                </w:p>
                <w:p>
                  <w:r>
                    <w:rPr>
                      <w:b/>
                    </w:rPr>
                    <w:t xml:space="preserve">Reference week: Collection methods</w:t>
                  </w:r>
                </w:p>
                <w:p>
                  <w:r>
                    <w:t xml:space="preserve">For the calculation of volunteer/unpaid staff hours worked, the following should be included:</w:t>
                  </w:r>
                </w:p>
                <w:p>
                  <w:pPr>
                    <w:pStyle w:val="ListParagraph"/>
                    <w:numPr>
                      <w:ilvl w:val="0"/>
                      <w:numId w:val="15"/>
                    </w:numPr>
                  </w:pPr>
                  <w:r>
                    <w:t xml:space="preserve">Volunteer/unpaid staff hours worked by administrative staff.</w:t>
                  </w:r>
                </w:p>
                <w:p>
                  <w:pPr>
                    <w:pStyle w:val="ListParagraph"/>
                    <w:numPr>
                      <w:ilvl w:val="0"/>
                      <w:numId w:val="15"/>
                    </w:numPr>
                  </w:pPr>
                  <w:r>
                    <w:t xml:space="preserve">Volunteer/unpaid staff hours worked by Board members relating to the service type.</w:t>
                  </w:r>
                </w:p>
                <w:p>
                  <w:pPr>
                    <w:pStyle w:val="ListParagraph"/>
                    <w:numPr>
                      <w:ilvl w:val="0"/>
                      <w:numId w:val="15"/>
                    </w:numPr>
                  </w:pPr>
                  <w:r>
                    <w:t xml:space="preserve">Volunteer/unpaid staff hours worked on committees or at meetings relevant to the service type.</w:t>
                  </w:r>
                </w:p>
                <w:p>
                  <w:pPr>
                    <w:pStyle w:val="ListParagraph"/>
                    <w:numPr>
                      <w:ilvl w:val="0"/>
                      <w:numId w:val="15"/>
                    </w:numPr>
                  </w:pPr>
                  <w:r>
                    <w:t xml:space="preserve">Staff hours worked as unpaid work by usually paid or contract staff.</w:t>
                  </w:r>
                </w:p>
                <w:p>
                  <w:pPr>
                    <w:pStyle w:val="ListParagraph"/>
                    <w:numPr>
                      <w:ilvl w:val="0"/>
                      <w:numId w:val="15"/>
                    </w:numPr>
                  </w:pPr>
                  <w:r>
                    <w:t xml:space="preserve">Volunteer/unpaid staff hours worked by staff contracted to clean premises.</w:t>
                  </w:r>
                </w:p>
                <w:p>
                  <w:pPr>
                    <w:pStyle w:val="ListParagraph"/>
                    <w:numPr>
                      <w:ilvl w:val="0"/>
                      <w:numId w:val="15"/>
                    </w:numPr>
                  </w:pPr>
                  <w:r>
                    <w:t xml:space="preserve">Staff hours worked by staff receiving training relevant to the service type.</w:t>
                  </w:r>
                </w:p>
                <w:p>
                  <w:r>
                    <w:t xml:space="preserve">The following should be excluded from volunteer/unpaid staff hours worked:</w:t>
                  </w:r>
                </w:p>
                <w:p>
                  <w:pPr>
                    <w:pStyle w:val="ListParagraph"/>
                    <w:numPr>
                      <w:ilvl w:val="0"/>
                      <w:numId w:val="16"/>
                    </w:numPr>
                  </w:pPr>
                  <w:r>
                    <w:t xml:space="preserve">Staff hours for workers on leave (including public holidays).</w:t>
                  </w:r>
                </w:p>
                <w:p>
                  <w:pPr>
                    <w:pStyle w:val="ListParagraph"/>
                    <w:numPr>
                      <w:ilvl w:val="0"/>
                      <w:numId w:val="16"/>
                    </w:numPr>
                  </w:pPr>
                  <w:r>
                    <w:t xml:space="preserve">Staff hours normally worked in positions that are currently vacant.</w:t>
                  </w:r>
                </w:p>
                <w:p>
                  <w:r>
                    <w:rPr>
                      <w:b/>
                    </w:rPr>
                    <w:t xml:space="preserve">Typical week: Collection methods</w:t>
                  </w:r>
                </w:p>
                <w:p>
                  <w:r>
                    <w:t xml:space="preserve">As above but include:</w:t>
                  </w:r>
                </w:p>
                <w:p>
                  <w:pPr>
                    <w:pStyle w:val="ListParagraph"/>
                    <w:numPr>
                      <w:ilvl w:val="0"/>
                      <w:numId w:val="17"/>
                    </w:numPr>
                  </w:pPr>
                  <w:r>
                    <w:t xml:space="preserve">Staff hours for workers on leave (including public holidays).</w:t>
                  </w:r>
                </w:p>
                <w:p>
                  <w:pPr>
                    <w:pStyle w:val="ListParagraph"/>
                    <w:numPr>
                      <w:ilvl w:val="0"/>
                      <w:numId w:val="17"/>
                    </w:numPr>
                  </w:pPr>
                  <w:r>
                    <w:t xml:space="preserve">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9544aa2f4b4ef1">
                    <w:r>
                      <w:rPr>
                        <w:rStyle w:val="Hyperlink"/>
                      </w:rPr>
                      <w:t xml:space="preserve">Service provider organisation—income tax exempt indicator, code N</w:t>
                    </w:r>
                  </w:hyperlink>
                </w:p>
                <w:p>
                  <w:r>
                    <w:rPr>
                      <w:b/>
                      <w:i/>
                      <w:color w:val="333333"/>
                    </w:rPr>
                    <w:t xml:space="preserve">Conditional obligation:</w:t>
                  </w:r>
                </w:p>
                <w:p>
                  <w:r>
                    <w:t xml:space="preserve">'Non-government' must be selected as the sector type of the service type outlet.</w:t>
                  </w:r>
                </w:p>
                <w:p>
                  <w:r>
                    <w:rPr>
                      <w:b/>
                      <w:i/>
                      <w:color w:val="333333"/>
                    </w:rPr>
                    <w:t xml:space="preserve">DSS specific information:</w:t>
                  </w:r>
                </w:p>
                <w:p>
                  <w:r>
                    <w:t xml:space="preserve">This data element should be reported by funding departments in relation to all non-government service type outlets.</w:t>
                  </w:r>
                </w:p>
                <w:p>
                  <w:r>
                    <w:t xml:space="preserve">Where a </w:t>
                  </w:r>
                  <w:hyperlink w:tooltip="A service type outlet is the unit of the funded agency that delivers a particular CSTDA service type at or from a discrete location. If a funded agency provides, say, both accommodation support and respite services, it is counted as two service type ou..." w:history="true" r:id="Rc430555f35604f97">
                    <w:r>
                      <w:rPr>
                        <w:rStyle w:val="Hyperlink"/>
                        <w:b/>
                      </w:rPr>
                      <w:t xml:space="preserve">service type outlet </w:t>
                    </w:r>
                  </w:hyperlink>
                  <w:r>
                    <w:t xml:space="preserve">has a formal relationship with a </w:t>
                  </w:r>
                  <w:hyperlink w:tooltip="A funded agency is usually a legal entity providing one or more types of CSTDA-funded service types to CSTDA users at one or more different locations. The organisational unit that delivers a single service type at or from a discrete location is describ..." w:history="true" r:id="Ra7b5d25dd1a540a7">
                    <w:r>
                      <w:rPr>
                        <w:rStyle w:val="Hyperlink"/>
                        <w:b/>
                      </w:rPr>
                      <w:t xml:space="preserve">CSTDA funded agency </w:t>
                    </w:r>
                  </w:hyperlink>
                  <w:r>
                    <w:t xml:space="preserve">then the government/non-government sector of the funded agency should generally be recorded.</w:t>
                  </w:r>
                </w:p>
                <w:p>
                  <w:r>
                    <w:t xml:space="preserve">This data element is used in conjunction with the level of government to determine the type of government or non-government sector (agency sector) to which the funded agency (or service type outlet) belongs.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0350212dd84cee">
                    <w:r>
                      <w:rPr>
                        <w:rStyle w:val="Hyperlink"/>
                      </w:rPr>
                      <w:t xml:space="preserve">Service provider organisation—level of government, code N</w:t>
                    </w:r>
                  </w:hyperlink>
                </w:p>
                <w:p>
                  <w:r>
                    <w:rPr>
                      <w:b/>
                      <w:i/>
                      <w:color w:val="333333"/>
                    </w:rPr>
                    <w:t xml:space="preserve">DSS specific information:</w:t>
                  </w:r>
                </w:p>
                <w:p>
                  <w:r>
                    <w:t xml:space="preserve">The level of government to which the CSTDA funded agency belongs to.</w:t>
                  </w:r>
                </w:p>
                <w:p>
                  <w:r>
                    <w:t xml:space="preserve">This item is used in conjunction with the tax exempt indicator of the funded agency to describe the agency sector or type of government or non-government sector to which the funded agency (or service type outlet) belongs.</w:t>
                  </w:r>
                </w:p>
                <w:p>
                  <w:r>
                    <w:t xml:space="preserve">It is also used in conjunction with the State/Territory identifier to determine the funding jurisdiction. 'Government' must be selected as the sector of this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9de904f3eb4c8e">
                    <w:r>
                      <w:rPr>
                        <w:rStyle w:val="Hyperlink"/>
                      </w:rPr>
                      <w:t xml:space="preserve">Service provider organisation—number of clients, total people N[NNNN]</w:t>
                    </w:r>
                  </w:hyperlink>
                </w:p>
                <w:p>
                  <w:r>
                    <w:rPr>
                      <w:b/>
                      <w:i/>
                      <w:color w:val="333333"/>
                    </w:rPr>
                    <w:t xml:space="preserve">DSS specific information:</w:t>
                  </w:r>
                </w:p>
                <w:p>
                  <w:r>
                    <w:t xml:space="preserve">In the CSTDA NMDS, this data element refers to the number of service users receiving CSTDA-funded services of a particular service type.</w:t>
                  </w:r>
                </w:p>
                <w:p>
                  <w:r>
                    <w:t xml:space="preserve">The number of people who received a service during the whole reporting period is required, not just those who received a service in a reference week.</w:t>
                  </w:r>
                </w:p>
                <w:p>
                  <w: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count the following:</w:t>
                  </w:r>
                </w:p>
                <w:p>
                  <w:r>
                    <w:t xml:space="preserve">6.01 (Advocacy) – number of people who have received advocacy services in the reporting period.</w:t>
                  </w:r>
                </w:p>
                <w:p>
                  <w:r>
                    <w:t xml:space="preserve">6.02 (Information/referral) – number of people making a request for information or referral.</w:t>
                  </w:r>
                </w:p>
                <w:p>
                  <w:r>
                    <w:t xml:space="preserve">6.03 (Combined information/advocacy) – as for 6.01 and 6.02.</w:t>
                  </w:r>
                </w:p>
                <w:p>
                  <w:r>
                    <w:t xml:space="preserve">6.04 (Mutual support/self-help groups) – number of people attending group sessions (i.e. if an individual attends a group session every Wednesday in the reporting period, the person should only be counted once for the reporting period.).</w:t>
                  </w:r>
                </w:p>
                <w:p>
                  <w:r>
                    <w:t xml:space="preserve">6.05 (Alternative formats of communication) – 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954e8af69d4b5e">
                    <w:r>
                      <w:rPr>
                        <w:rStyle w:val="Hyperlink"/>
                      </w:rPr>
                      <w:t xml:space="preserve">Service provider organisation—number of service operation days (7 day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565c0871c14f04">
                    <w:r>
                      <w:rPr>
                        <w:rStyle w:val="Hyperlink"/>
                      </w:rPr>
                      <w:t xml:space="preserve">Service provider organisation—number of service operation hours (24 hour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51327b1d8442c0">
                    <w:r>
                      <w:rPr>
                        <w:rStyle w:val="Hyperlink"/>
                      </w:rPr>
                      <w:t xml:space="preserve">Service provider organisation—number of service operation weeks (calendar year), total NN</w:t>
                    </w:r>
                  </w:hyperlink>
                </w:p>
                <w:p>
                  <w:r>
                    <w:rPr>
                      <w:b/>
                      <w:i/>
                      <w:color w:val="333333"/>
                    </w:rPr>
                    <w:t xml:space="preserve">DSS specific information:</w:t>
                  </w:r>
                </w:p>
                <w:p>
                  <w:r>
                    <w:t xml:space="preserve">The number of weeks the service type outlet usually operates. This data element is reported by all service type outlets</w:t>
                  </w:r>
                </w:p>
                <w:p>
                  <w:r>
                    <w:t xml:space="preserve">A service type outlet is considered to be operating whenever a service is provided to service users (e.g. if a service type outlet closes for only two weeks over the Christmas period it should be reported as operating for 50 weeks per year).</w:t>
                  </w:r>
                </w:p>
                <w:p>
                  <w:r>
                    <w:t xml:space="preserve">Service type outlets 7.01–7.04 may record ‘90’ (‘no regular pattern of operation through a day’), or, if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76da7227554f8e">
                    <w:r>
                      <w:rPr>
                        <w:rStyle w:val="Hyperlink"/>
                      </w:rPr>
                      <w:t xml:space="preserve">Service provider organisation—organisation identifier (CSTDA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3398b89f194734">
                    <w:r>
                      <w:rPr>
                        <w:rStyle w:val="Hyperlink"/>
                      </w:rPr>
                      <w:t xml:space="preserve">Service provider organisation—organisation identifier (CSTDA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7438bdbc4e433a">
                    <w:r>
                      <w:rPr>
                        <w:rStyle w:val="Hyperlink"/>
                      </w:rPr>
                      <w:t xml:space="preserve">Service provider organisation—sector, code N</w:t>
                    </w:r>
                  </w:hyperlink>
                </w:p>
                <w:p>
                  <w:r>
                    <w:rPr>
                      <w:b/>
                      <w:i/>
                      <w:color w:val="333333"/>
                    </w:rPr>
                    <w:t xml:space="preserve">DSS specific information:</w:t>
                  </w:r>
                </w:p>
                <w:p>
                  <w:r>
                    <w:t xml:space="preserve">This item is used in the CSTDA NMDS to determine the type of government or non-government sector to which the funded agency (or service type outlet) belongs. Where 'Government' is selected, then the Level of government must also be recorded.</w:t>
                  </w:r>
                </w:p>
                <w:p>
                  <w:r>
                    <w:t xml:space="preserve">Where 'Non-government' is selected, then the 'Tax exempt indicator' must also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095a67d9064411">
                    <w:r>
                      <w:rPr>
                        <w:rStyle w:val="Hyperlink"/>
                      </w:rPr>
                      <w:t xml:space="preserve">Service provider organisation—service activity type, CSTDA support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79839b0ce19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372123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2a5a770ece46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9839b0ce194607" /><Relationship Type="http://schemas.openxmlformats.org/officeDocument/2006/relationships/header" Target="/word/header1.xml" Id="Rb84ac9bea666434c" /><Relationship Type="http://schemas.openxmlformats.org/officeDocument/2006/relationships/settings" Target="/word/settings.xml" Id="Re7a0a1249d03479a" /><Relationship Type="http://schemas.openxmlformats.org/officeDocument/2006/relationships/styles" Target="/word/styles.xml" Id="Rd2078fb955dc48ec" /><Relationship Type="http://schemas.openxmlformats.org/officeDocument/2006/relationships/numbering" Target="/word/numbering.xml" Id="R8688c5405c39485d" /><Relationship Type="http://schemas.openxmlformats.org/officeDocument/2006/relationships/hyperlink" Target="https://meteor-uat.aihw.gov.au/RegistrationAuthority/3" TargetMode="External" Id="R54417a4f79be4013" /><Relationship Type="http://schemas.openxmlformats.org/officeDocument/2006/relationships/hyperlink" Target="https://meteor-uat.aihw.gov.au/content/367581" TargetMode="External" Id="R5bfefbf96f5f4aa3" /><Relationship Type="http://schemas.openxmlformats.org/officeDocument/2006/relationships/hyperlink" Target="https://meteor-uat.aihw.gov.au/content/317350" TargetMode="External" Id="R9a75516a5f0247dd" /><Relationship Type="http://schemas.openxmlformats.org/officeDocument/2006/relationships/hyperlink" Target="https://meteor-uat.aihw.gov.au/RegistrationAuthority/3" TargetMode="External" Id="R4a0312ad553f4395" /><Relationship Type="http://schemas.openxmlformats.org/officeDocument/2006/relationships/hyperlink" Target="https://meteor-uat.aihw.gov.au/content/386485" TargetMode="External" Id="Rf04c07f86bff47f9" /><Relationship Type="http://schemas.openxmlformats.org/officeDocument/2006/relationships/hyperlink" Target="https://meteor-uat.aihw.gov.au/RegistrationAuthority/3" TargetMode="External" Id="Ra6f176ec88134bac" /><Relationship Type="http://schemas.openxmlformats.org/officeDocument/2006/relationships/hyperlink" Target="https://meteor-uat.aihw.gov.au/content/323093" TargetMode="External" Id="Rd6ef7ab779264ecf" /><Relationship Type="http://schemas.openxmlformats.org/officeDocument/2006/relationships/hyperlink" Target="https://meteor-uat.aihw.gov.au/content/329314" TargetMode="External" Id="Recc6112e0fd24848" /><Relationship Type="http://schemas.openxmlformats.org/officeDocument/2006/relationships/hyperlink" Target="https://meteor-uat.aihw.gov.au/content/270167" TargetMode="External" Id="Rcc057b386da542e6" /><Relationship Type="http://schemas.openxmlformats.org/officeDocument/2006/relationships/hyperlink" Target="https://meteor-uat.aihw.gov.au/content/323760" TargetMode="External" Id="R02672c454b634bc4" /><Relationship Type="http://schemas.openxmlformats.org/officeDocument/2006/relationships/hyperlink" Target="https://meteor-uat.aihw.gov.au/content/315636" TargetMode="External" Id="Rde00b3f5bdce4faa" /><Relationship Type="http://schemas.openxmlformats.org/officeDocument/2006/relationships/hyperlink" Target="https://meteor-uat.aihw.gov.au/content/323286" TargetMode="External" Id="R153a732aa4114268" /><Relationship Type="http://schemas.openxmlformats.org/officeDocument/2006/relationships/hyperlink" Target="https://meteor-uat.aihw.gov.au/content/287224" TargetMode="External" Id="Redc4d3a6f86c4dcd" /><Relationship Type="http://schemas.openxmlformats.org/officeDocument/2006/relationships/hyperlink" Target="https://meteor-uat.aihw.gov.au/content/347342" TargetMode="External" Id="R90c0c7e8810f45e4" /><Relationship Type="http://schemas.openxmlformats.org/officeDocument/2006/relationships/hyperlink" Target="https://meteor-uat.aihw.gov.au/content/320125" TargetMode="External" Id="R6a0768fa2db942ec" /><Relationship Type="http://schemas.openxmlformats.org/officeDocument/2006/relationships/hyperlink" Target="https://meteor-uat.aihw.gov.au/content/323751" TargetMode="External" Id="R7ec676b1f01740c2" /><Relationship Type="http://schemas.openxmlformats.org/officeDocument/2006/relationships/hyperlink" Target="https://meteor-uat.aihw.gov.au/content/345093" TargetMode="External" Id="R516cc66e2b7242c4" /><Relationship Type="http://schemas.openxmlformats.org/officeDocument/2006/relationships/hyperlink" Target="https://meteor-uat.aihw.gov.au/content/370943" TargetMode="External" Id="R4340f99ff1b74dd3" /><Relationship Type="http://schemas.openxmlformats.org/officeDocument/2006/relationships/hyperlink" Target="https://meteor-uat.aihw.gov.au/content/287007" TargetMode="External" Id="Rabc0ee3941c34723" /><Relationship Type="http://schemas.openxmlformats.org/officeDocument/2006/relationships/hyperlink" Target="https://meteor-uat.aihw.gov.au/content/345049" TargetMode="External" Id="R3f92121646674e48" /><Relationship Type="http://schemas.openxmlformats.org/officeDocument/2006/relationships/hyperlink" Target="https://meteor-uat.aihw.gov.au/content/323170" TargetMode="External" Id="Re06e176af0fb41e4" /><Relationship Type="http://schemas.openxmlformats.org/officeDocument/2006/relationships/hyperlink" Target="https://meteor-uat.aihw.gov.au/content/291036" TargetMode="External" Id="Rde79a2d1719c4734" /><Relationship Type="http://schemas.openxmlformats.org/officeDocument/2006/relationships/hyperlink" Target="https://meteor-uat.aihw.gov.au/content/320939" TargetMode="External" Id="R7b137fefc1a74cc1" /><Relationship Type="http://schemas.openxmlformats.org/officeDocument/2006/relationships/hyperlink" Target="https://meteor-uat.aihw.gov.au/content/304294" TargetMode="External" Id="R18a648b139dc470f" /><Relationship Type="http://schemas.openxmlformats.org/officeDocument/2006/relationships/hyperlink" Target="https://meteor-uat.aihw.gov.au/content/270112" TargetMode="External" Id="R34215dfbcf014aee" /><Relationship Type="http://schemas.openxmlformats.org/officeDocument/2006/relationships/hyperlink" Target="https://meteor-uat.aihw.gov.au/content/349481" TargetMode="External" Id="R4c2d124f756e4589" /><Relationship Type="http://schemas.openxmlformats.org/officeDocument/2006/relationships/hyperlink" Target="https://meteor-uat.aihw.gov.au/content/349483" TargetMode="External" Id="R6ae203b4d4404960" /><Relationship Type="http://schemas.openxmlformats.org/officeDocument/2006/relationships/hyperlink" Target="https://meteor-uat.aihw.gov.au/content/270385" TargetMode="External" Id="Rf9d340acfa92482b" /><Relationship Type="http://schemas.openxmlformats.org/officeDocument/2006/relationships/hyperlink" Target="https://meteor-uat.aihw.gov.au/content/342678" TargetMode="External" Id="Rff8303af96a04980" /><Relationship Type="http://schemas.openxmlformats.org/officeDocument/2006/relationships/hyperlink" Target="https://meteor-uat.aihw.gov.au/content/323492" TargetMode="External" Id="R43aaf92b4bcb4edf" /><Relationship Type="http://schemas.openxmlformats.org/officeDocument/2006/relationships/hyperlink" Target="https://meteor-uat.aihw.gov.au/content/323510" TargetMode="External" Id="R2fa6e4ff2513488a" /><Relationship Type="http://schemas.openxmlformats.org/officeDocument/2006/relationships/hyperlink" Target="https://meteor-uat.aihw.gov.au/content/287316" TargetMode="External" Id="R43a8be245b3e40b8" /><Relationship Type="http://schemas.openxmlformats.org/officeDocument/2006/relationships/hyperlink" Target="https://meteor-uat.aihw.gov.au/content/323214" TargetMode="External" Id="R8566a761868e499b" /><Relationship Type="http://schemas.openxmlformats.org/officeDocument/2006/relationships/hyperlink" Target="https://meteor-uat.aihw.gov.au/content/323185" TargetMode="External" Id="R371756d075b54a8b" /><Relationship Type="http://schemas.openxmlformats.org/officeDocument/2006/relationships/hyperlink" Target="https://meteor-uat.aihw.gov.au/content/323308" TargetMode="External" Id="R58b57f783f444a77" /><Relationship Type="http://schemas.openxmlformats.org/officeDocument/2006/relationships/hyperlink" Target="https://meteor-uat.aihw.gov.au/content/270160" TargetMode="External" Id="R669c7466f29a423b" /><Relationship Type="http://schemas.openxmlformats.org/officeDocument/2006/relationships/hyperlink" Target="https://meteor-uat.aihw.gov.au/content/338558" TargetMode="External" Id="R655fadf815a24353" /><Relationship Type="http://schemas.openxmlformats.org/officeDocument/2006/relationships/hyperlink" Target="https://meteor-uat.aihw.gov.au/content/349406" TargetMode="External" Id="R7edd8a30c68e4957" /><Relationship Type="http://schemas.openxmlformats.org/officeDocument/2006/relationships/hyperlink" Target="https://meteor-uat.aihw.gov.au/content/323253" TargetMode="External" Id="Rcf251ae80d594914" /><Relationship Type="http://schemas.openxmlformats.org/officeDocument/2006/relationships/hyperlink" Target="https://meteor-uat.aihw.gov.au/content/290064" TargetMode="External" Id="Rbd777ce2bb6e4a2c" /><Relationship Type="http://schemas.openxmlformats.org/officeDocument/2006/relationships/hyperlink" Target="https://meteor-uat.aihw.gov.au/content/289083" TargetMode="External" Id="R0ae1fb56a5fc47b2" /><Relationship Type="http://schemas.openxmlformats.org/officeDocument/2006/relationships/hyperlink" Target="https://meteor-uat.aihw.gov.au/content/322176" TargetMode="External" Id="R964e3435411d47c9" /><Relationship Type="http://schemas.openxmlformats.org/officeDocument/2006/relationships/hyperlink" Target="https://meteor-uat.aihw.gov.au/content/321039" TargetMode="External" Id="R4cccfeec611c4643" /><Relationship Type="http://schemas.openxmlformats.org/officeDocument/2006/relationships/hyperlink" Target="https://meteor-uat.aihw.gov.au/content/355759" TargetMode="External" Id="R3e8478f161ad402d" /><Relationship Type="http://schemas.openxmlformats.org/officeDocument/2006/relationships/hyperlink" Target="https://meteor-uat.aihw.gov.au/content/362297" TargetMode="External" Id="Rfaf58af0b0024db5" /><Relationship Type="http://schemas.openxmlformats.org/officeDocument/2006/relationships/hyperlink" Target="https://meteor-uat.aihw.gov.au/content/347870" TargetMode="External" Id="R5359e156a5d44d9f" /><Relationship Type="http://schemas.openxmlformats.org/officeDocument/2006/relationships/hyperlink" Target="https://meteor-uat.aihw.gov.au/content/347882" TargetMode="External" Id="R3792e5e0a8db4449" /><Relationship Type="http://schemas.openxmlformats.org/officeDocument/2006/relationships/hyperlink" Target="https://meteor-uat.aihw.gov.au/content/321004" TargetMode="External" Id="R209544aa2f4b4ef1" /><Relationship Type="http://schemas.openxmlformats.org/officeDocument/2006/relationships/hyperlink" Target="https://meteor-uat.aihw.gov.au/content/344878" TargetMode="External" Id="Rc430555f35604f97" /><Relationship Type="http://schemas.openxmlformats.org/officeDocument/2006/relationships/hyperlink" Target="https://meteor-uat.aihw.gov.au/content/344853" TargetMode="External" Id="Ra7b5d25dd1a540a7" /><Relationship Type="http://schemas.openxmlformats.org/officeDocument/2006/relationships/hyperlink" Target="https://meteor-uat.aihw.gov.au/content/322239" TargetMode="External" Id="R540350212dd84cee" /><Relationship Type="http://schemas.openxmlformats.org/officeDocument/2006/relationships/hyperlink" Target="https://meteor-uat.aihw.gov.au/content/321271" TargetMode="External" Id="R7d9de904f3eb4c8e" /><Relationship Type="http://schemas.openxmlformats.org/officeDocument/2006/relationships/hyperlink" Target="https://meteor-uat.aihw.gov.au/content/323188" TargetMode="External" Id="Rbb954e8af69d4b5e" /><Relationship Type="http://schemas.openxmlformats.org/officeDocument/2006/relationships/hyperlink" Target="https://meteor-uat.aihw.gov.au/content/270376" TargetMode="External" Id="Rbd565c0871c14f04" /><Relationship Type="http://schemas.openxmlformats.org/officeDocument/2006/relationships/hyperlink" Target="https://meteor-uat.aihw.gov.au/content/270377" TargetMode="External" Id="Ra251327b1d8442c0" /><Relationship Type="http://schemas.openxmlformats.org/officeDocument/2006/relationships/hyperlink" Target="https://meteor-uat.aihw.gov.au/content/321209" TargetMode="External" Id="Ra276da7227554f8e" /><Relationship Type="http://schemas.openxmlformats.org/officeDocument/2006/relationships/hyperlink" Target="https://meteor-uat.aihw.gov.au/content/321288" TargetMode="External" Id="R493398b89f194734" /><Relationship Type="http://schemas.openxmlformats.org/officeDocument/2006/relationships/hyperlink" Target="https://meteor-uat.aihw.gov.au/content/350937" TargetMode="External" Id="Ra57438bdbc4e433a" /><Relationship Type="http://schemas.openxmlformats.org/officeDocument/2006/relationships/hyperlink" Target="https://meteor-uat.aihw.gov.au/content/321276" TargetMode="External" Id="Rc2095a67d9064411" /></Relationships>
</file>

<file path=word/_rels/header1.xml.rels>&#65279;<?xml version="1.0" encoding="utf-8"?><Relationships xmlns="http://schemas.openxmlformats.org/package/2006/relationships"><Relationship Type="http://schemas.openxmlformats.org/officeDocument/2006/relationships/image" Target="/media/image.png" Id="R0b2a5a770ece46dc" /></Relationships>
</file>