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e655fe9af84c58" /></Relationships>
</file>

<file path=word/document.xml><?xml version="1.0" encoding="utf-8"?>
<w:document xmlns:r="http://schemas.openxmlformats.org/officeDocument/2006/relationships" xmlns:w="http://schemas.openxmlformats.org/wordprocessingml/2006/main">
  <w:body>
    <w:p>
      <w:pPr>
        <w:pStyle w:val="Title"/>
      </w:pPr>
      <w:r>
        <w:t>Person—source of cash income (principal),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(principal),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principal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Main income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803b0fa7fe4ad5">
              <w:r>
                <w:rPr>
                  <w:rStyle w:val="Hyperlink"/>
                  <w:color w:val="244061"/>
                </w:rPr>
                <w:t xml:space="preserve">Community Services (retired)</w:t>
              </w:r>
            </w:hyperlink>
            <w:r>
              <w:rPr>
                <w:rStyle w:val="row-content"/>
                <w:color w:val="244061"/>
              </w:rPr>
              <w:t xml:space="preserve">, Recorded 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needs and circumstances of individuals and sometimes used in assessment of income equity.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37acfc5ecd461e">
              <w:r>
                <w:rPr>
                  <w:rStyle w:val="Hyperlink"/>
                </w:rPr>
                <w:t xml:space="preserve">Person—source of cash income (principal)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5281aeadf54ce2">
              <w:r>
                <w:rPr>
                  <w:rStyle w:val="Hyperlink"/>
                </w:rPr>
                <w:t xml:space="preserve">Source of cash income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with more than one source of income should be categorised only to the value domain category, which best describes their primary source of income.</w:t>
            </w:r>
          </w:p>
          <w:p>
            <w:pPr>
              <w:spacing w:after="160"/>
            </w:pPr>
            <w:r>
              <w:rPr>
                <w:rStyle w:val="row-content-rich-text"/>
              </w:rPr>
              <w:t xml:space="preserve">The value domain categories shown above can be linked to broad sources of cash income specified in the Statistical Concepts Library of the Australian Bureau of Statistics. 'Sources of cash income' and 'Principal source of cash income' are classified to the Standard classification of sources of cash income. This is a three level hierarchical classification and is described in detail at the broad (one-digit), narrow (two-digit) and detailed (four-digit) levels.</w:t>
            </w:r>
          </w:p>
          <w:p>
            <w:pPr>
              <w:spacing w:after="160"/>
            </w:pPr>
            <w:r>
              <w:rPr>
                <w:rStyle w:val="row-content-rich-text"/>
              </w:rPr>
              <w:t xml:space="preserve">Code 1     Primary cash income:</w:t>
            </w:r>
          </w:p>
          <w:p>
            <w:pPr>
              <w:spacing w:after="160"/>
            </w:pPr>
            <w:r>
              <w:rPr>
                <w:rStyle w:val="row-content-rich-text"/>
              </w:rPr>
              <w:t xml:space="preserve">Payments from an employer or own limited liability company, including wages or salary, tips, piece rates, penalty rates, loadings, regular bonuses, payment for time not worked (sick leave, recreation leave, public holidays etc.) and director's fees. An employee is classed as receiving cash from an employer or his/her own incorporated enterprise.</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Code 3     Government cash pensions and allowances</w:t>
            </w:r>
          </w:p>
          <w:p>
            <w:pPr>
              <w:spacing w:after="160"/>
            </w:pPr>
            <w:r>
              <w:rPr>
                <w:rStyle w:val="row-content-rich-text"/>
              </w:rPr>
              <w:t xml:space="preserve"> </w:t>
            </w:r>
          </w:p>
          <w:p>
            <w:pPr>
              <w:spacing w:after="160"/>
            </w:pPr>
            <w:r>
              <w:rPr>
                <w:rStyle w:val="row-content-rich-text"/>
              </w:rPr>
              <w:t xml:space="preserve">All government cash pensions, benefits and allowances.</w:t>
            </w:r>
          </w:p>
          <w:p>
            <w:pPr>
              <w:spacing w:after="160"/>
            </w:pPr>
            <w:r>
              <w:rPr>
                <w:rStyle w:val="row-content-rich-text"/>
              </w:rPr>
              <w:t xml:space="preserve">Code 4     Other income:</w:t>
            </w:r>
          </w:p>
          <w:p>
            <w:pPr/>
            <w:r>
              <w:rPr>
                <w:rStyle w:val="row-content-rich-text"/>
              </w:rPr>
              <w:t xml:space="preserve">Includes cash income deriving from the ownership of assets (comprising returns from financial assets, physical assets and from intellectual assets), superannuation/annuities, transfers from private organisations (e.g. workers compensation), transfers from other households (e.g. child support payments) and scholarships.This code also includes </w:t>
            </w:r>
            <w:hyperlink w:tooltip="The net of operating expenses including: labour costs in the form of wages, salaries and supplements; the value of raw materials and services purchased; the repair and maintenance of equipment (including vehicles); the purchase of fuel; indirect taxes;..." w:history="true" r:id="Re8e2ec14b8954bdc">
              <w:r>
                <w:rPr>
                  <w:rStyle w:val="Hyperlink"/>
                  <w:b/>
                </w:rPr>
                <w:t xml:space="preserve">unincorporated business cash income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Please note that the ABS classification on which this is based has a separate code for </w:t>
            </w:r>
          </w:p>
          <w:p>
            <w:hyperlink w:tooltip="The net of operating expenses including: labour costs in the form of wages, salaries and supplements; the value of raw materials and services purchased; the repair and maintenance of equipment (including vehicles); the purchase of fuel; indirect taxes;..." w:history="true" r:id="R2915e3f6e5004150">
              <w:r>
                <w:rPr>
                  <w:rStyle w:val="Hyperlink"/>
                  <w:b/>
                </w:rPr>
                <w:t xml:space="preserve">unincorporated business cash income</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p>
            <w:pPr>
              <w:spacing w:after="160"/>
            </w:pPr>
            <w:r>
              <w:rPr>
                <w:rStyle w:val="row-content-rich-text"/>
              </w:rPr>
              <w:t xml:space="preserve">Reference online through:</w:t>
            </w:r>
          </w:p>
          <w:p>
            <w:hyperlink w:history="true" r:id="R9e9b4fc957b143dc">
              <w:r>
                <w:rPr>
                  <w:rStyle w:val="Hyperlink"/>
                </w:rPr>
                <w:t xml:space="preserve">Ausstats Standards for Social, Labour and Demographic Variables, Cash Income Variables</w:t>
              </w:r>
              <w:r>
                <w:br/>
              </w:r>
              <w:r>
                <w:rPr>
                  <w:rStyle w:val="row-content-rich-text"/>
                </w:rPr>
                <w:t xml:space="preserv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person has multiple sources of income and none equal to or greater than 50%, the one, which contributes the largest percentage, should be counted.</w:t>
            </w:r>
          </w:p>
          <w:p>
            <w:pPr>
              <w:spacing w:after="160"/>
            </w:pPr>
            <w:r>
              <w:rPr>
                <w:rStyle w:val="row-content-rich-text"/>
              </w:rPr>
              <w:t xml:space="preserve">If there is more than one source and they are exactly equal, list the source of income which the person most identifies as receiving from the primary occupation.</w:t>
            </w:r>
          </w:p>
          <w:p>
            <w:pPr>
              <w:spacing w:after="160"/>
            </w:pPr>
            <w:r>
              <w:rPr>
                <w:rStyle w:val="row-content-rich-text"/>
              </w:rPr>
              <w:t xml:space="preserve">Included is cash income that may be received from employment (Employee cash income), as a profit or loss from an unincorporated enterprise (Unincorporated business cash income), from the ownership of assets (Property cash income). Income may also be derived from current transfers from government (pensions and benefits) or from private sources, such as superannuation funds. An individual may receive cash income from more than one source.</w:t>
            </w:r>
          </w:p>
          <w:p>
            <w:pPr>
              <w:spacing w:after="160"/>
            </w:pPr>
            <w:r>
              <w:rPr>
                <w:rStyle w:val="row-content-rich-text"/>
              </w:rPr>
              <w:t xml:space="preserve">Excluded from this concept is income in kind e.g. barter for goods or services.</w:t>
            </w:r>
          </w:p>
          <w:p>
            <w:pPr/>
            <w:r>
              <w:rPr>
                <w:rStyle w:val="row-content-rich-text"/>
              </w:rPr>
              <w:t xml:space="preserve">Please note when using this item in comparison with the ABS income cash variables standards, </w:t>
            </w:r>
            <w:hyperlink w:tooltip="The net of operating expenses including: labour costs in the form of wages, salaries and supplements; the value of raw materials and services purchased; the repair and maintenance of equipment (including vehicles); the purchase of fuel; indirect taxes;..." w:history="true" r:id="R4cdee8c42897480e">
              <w:r>
                <w:rPr>
                  <w:rStyle w:val="Hyperlink"/>
                  <w:b/>
                </w:rPr>
                <w:t xml:space="preserve">unincorporated business cash income </w:t>
              </w:r>
            </w:hyperlink>
            <w:r>
              <w:rPr>
                <w:rStyle w:val="row-content-rich-text"/>
              </w:rPr>
              <w:t xml:space="preserve">is coded to Code 4 'other income'.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question is not asked of person's aged less than 15 years because they are generally dependants.</w:t>
            </w:r>
          </w:p>
          <w:p>
            <w:pPr>
              <w:spacing w:after="160"/>
            </w:pPr>
            <w:r>
              <w:rPr>
                <w:rStyle w:val="row-content-rich-text"/>
              </w:rPr>
              <w:t xml:space="preserve">While this standard specifies the collection of data at the 1-digit level, individual community services data collections may use more detailed categories for one or more of the above for program or service-specific purposes. For example, the Commonwealth State Disability Agreement National Minimum Data Set separately identifies disability support pension recipients and other pension/benefit recipients.</w:t>
            </w:r>
          </w:p>
          <w:p>
            <w:pPr>
              <w:spacing w:after="160"/>
            </w:pPr>
            <w:r>
              <w:rPr>
                <w:rStyle w:val="row-content-rich-text"/>
              </w:rPr>
              <w:t xml:space="preserve">It is permissible for agencies to collect at 2- or 4-digit as well, if this suits their purposes.</w:t>
            </w:r>
          </w:p>
          <w:p>
            <w:pPr>
              <w:spacing w:after="160"/>
            </w:pPr>
            <w:r>
              <w:rPr>
                <w:rStyle w:val="row-content-rich-text"/>
              </w:rPr>
              <w:t xml:space="preserve">The 2- and 4-digit levels are described below:</w:t>
            </w:r>
          </w:p>
          <w:p>
            <w:pPr>
              <w:spacing w:after="160"/>
            </w:pPr>
            <w:r>
              <w:rPr>
                <w:rStyle w:val="row-content-rich-text"/>
              </w:rPr>
              <w:t xml:space="preserve">Narrow 2 digit representation</w:t>
            </w:r>
          </w:p>
          <w:p>
            <w:pPr>
              <w:spacing w:after="160"/>
            </w:pPr>
            <w:r>
              <w:rPr>
                <w:rStyle w:val="row-content-rich-text"/>
              </w:rPr>
              <w:t xml:space="preserve">11 Employee cash income</w:t>
            </w:r>
            <w:r>
              <w:br/>
            </w:r>
            <w:r>
              <w:rPr>
                <w:rStyle w:val="row-content-rich-text"/>
              </w:rPr>
              <w:t xml:space="preserve">21 Unincorporated business cash income</w:t>
            </w:r>
            <w:r>
              <w:br/>
            </w:r>
            <w:r>
              <w:rPr>
                <w:rStyle w:val="row-content-rich-text"/>
              </w:rPr>
              <w:t xml:space="preserve">31 Allowances for students and the unemployed</w:t>
            </w:r>
            <w:r>
              <w:br/>
            </w:r>
            <w:r>
              <w:rPr>
                <w:rStyle w:val="row-content-rich-text"/>
              </w:rPr>
              <w:t xml:space="preserve">32 Centrelink pensions for the aged and persons with a disability</w:t>
            </w:r>
            <w:r>
              <w:br/>
            </w:r>
            <w:r>
              <w:rPr>
                <w:rStyle w:val="row-content-rich-text"/>
              </w:rPr>
              <w:t xml:space="preserve">39 Other Government cash pensions and allowances</w:t>
            </w:r>
            <w:r>
              <w:br/>
            </w:r>
            <w:r>
              <w:rPr>
                <w:rStyle w:val="row-content-rich-text"/>
              </w:rPr>
              <w:t xml:space="preserve">41 Property cash income</w:t>
            </w:r>
            <w:r>
              <w:br/>
            </w:r>
            <w:r>
              <w:rPr>
                <w:rStyle w:val="row-content-rich-text"/>
              </w:rPr>
              <w:t xml:space="preserve">42 Superannuation/annuities</w:t>
            </w:r>
            <w:r>
              <w:br/>
            </w:r>
            <w:r>
              <w:rPr>
                <w:rStyle w:val="row-content-rich-text"/>
              </w:rPr>
              <w:t xml:space="preserve">43Transfers from private organisations</w:t>
            </w:r>
            <w:r>
              <w:br/>
            </w:r>
            <w:r>
              <w:rPr>
                <w:rStyle w:val="row-content-rich-text"/>
              </w:rPr>
              <w:t xml:space="preserve">44 Transfers from other households</w:t>
            </w:r>
            <w:r>
              <w:br/>
            </w:r>
            <w:r>
              <w:rPr>
                <w:rStyle w:val="row-content-rich-text"/>
              </w:rPr>
              <w:t xml:space="preserve">43 Scholarships</w:t>
            </w:r>
            <w:r>
              <w:br/>
            </w:r>
            <w:r>
              <w:rPr>
                <w:rStyle w:val="row-content-rich-text"/>
              </w:rPr>
              <w:t xml:space="preserve">49 Other cash income</w:t>
            </w:r>
            <w:r>
              <w:br/>
            </w:r>
            <w:r>
              <w:rPr>
                <w:rStyle w:val="row-content-rich-text"/>
              </w:rPr>
              <w:t xml:space="preserve">88 Nil income</w:t>
            </w:r>
            <w:r>
              <w:br/>
            </w:r>
            <w:r>
              <w:rPr>
                <w:rStyle w:val="row-content-rich-text"/>
              </w:rPr>
              <w:t xml:space="preserve">99 Not stated/not known/inadequately described</w:t>
            </w:r>
          </w:p>
          <w:p>
            <w:pPr>
              <w:spacing w:after="160"/>
            </w:pPr>
            <w:r>
              <w:rPr>
                <w:rStyle w:val="row-content-rich-text"/>
              </w:rPr>
              <w:t xml:space="preserve">Detailed (four-digit) representation</w:t>
            </w:r>
          </w:p>
          <w:p>
            <w:pPr>
              <w:spacing w:after="160"/>
            </w:pPr>
            <w:r>
              <w:rPr>
                <w:rStyle w:val="row-content-rich-text"/>
              </w:rPr>
              <w:t xml:space="preserve">1101 Employee cash income</w:t>
            </w:r>
            <w:r>
              <w:br/>
            </w:r>
            <w:r>
              <w:rPr>
                <w:rStyle w:val="row-content-rich-text"/>
              </w:rPr>
              <w:t xml:space="preserve">2101 </w:t>
            </w:r>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343df07f4e6842b8">
              <w:r>
                <w:rPr>
                  <w:rStyle w:val="Hyperlink"/>
                  <w:b/>
                </w:rPr>
                <w:t xml:space="preserve">Unincorporated business </w:t>
              </w:r>
            </w:hyperlink>
            <w:r>
              <w:rPr>
                <w:rStyle w:val="row-content-rich-text"/>
              </w:rPr>
              <w:t xml:space="preserve">cash income</w:t>
            </w:r>
            <w:r>
              <w:br/>
            </w:r>
            <w:r>
              <w:rPr>
                <w:rStyle w:val="row-content-rich-text"/>
              </w:rPr>
              <w:t xml:space="preserve">3101 Newstart allowance</w:t>
            </w:r>
            <w:r>
              <w:br/>
            </w:r>
            <w:r>
              <w:rPr>
                <w:rStyle w:val="row-content-rich-text"/>
              </w:rPr>
              <w:t xml:space="preserve">3102 Youth allowance</w:t>
            </w:r>
            <w:r>
              <w:br/>
            </w:r>
            <w:r>
              <w:rPr>
                <w:rStyle w:val="row-content-rich-text"/>
              </w:rPr>
              <w:t xml:space="preserve">3103 Mature age allowance</w:t>
            </w:r>
            <w:r>
              <w:br/>
            </w:r>
            <w:r>
              <w:rPr>
                <w:rStyle w:val="row-content-rich-text"/>
              </w:rPr>
              <w:t xml:space="preserve">3104 Sickness allowance</w:t>
            </w:r>
            <w:r>
              <w:br/>
            </w:r>
            <w:r>
              <w:rPr>
                <w:rStyle w:val="row-content-rich-text"/>
              </w:rPr>
              <w:t xml:space="preserve">3105 Austudy payment</w:t>
            </w:r>
            <w:r>
              <w:br/>
            </w:r>
            <w:r>
              <w:rPr>
                <w:rStyle w:val="row-content-rich-text"/>
              </w:rPr>
              <w:t xml:space="preserve">3106 ABSTUDY payment</w:t>
            </w:r>
            <w:r>
              <w:br/>
            </w:r>
            <w:r>
              <w:rPr>
                <w:rStyle w:val="row-content-rich-text"/>
              </w:rPr>
              <w:t xml:space="preserve">3201 Age pension</w:t>
            </w:r>
            <w:r>
              <w:br/>
            </w:r>
            <w:r>
              <w:rPr>
                <w:rStyle w:val="row-content-rich-text"/>
              </w:rPr>
              <w:t xml:space="preserve">3202 Disability support pension</w:t>
            </w:r>
            <w:r>
              <w:br/>
            </w:r>
            <w:r>
              <w:rPr>
                <w:rStyle w:val="row-content-rich-text"/>
              </w:rPr>
              <w:t xml:space="preserve">3901 Family Tax Benefit (Parts A and B)</w:t>
            </w:r>
            <w:r>
              <w:br/>
            </w:r>
            <w:r>
              <w:rPr>
                <w:rStyle w:val="row-content-rich-text"/>
              </w:rPr>
              <w:t xml:space="preserve">3902 Parenting Payment</w:t>
            </w:r>
            <w:r>
              <w:br/>
            </w:r>
            <w:r>
              <w:rPr>
                <w:rStyle w:val="row-content-rich-text"/>
              </w:rPr>
              <w:t xml:space="preserve">3903 Double Orphan Pension</w:t>
            </w:r>
            <w:r>
              <w:br/>
            </w:r>
            <w:r>
              <w:rPr>
                <w:rStyle w:val="row-content-rich-text"/>
              </w:rPr>
              <w:t xml:space="preserve">3904 Carer Allowance</w:t>
            </w:r>
            <w:r>
              <w:br/>
            </w:r>
            <w:r>
              <w:rPr>
                <w:rStyle w:val="row-content-rich-text"/>
              </w:rPr>
              <w:t xml:space="preserve">3905 Wife Pension</w:t>
            </w:r>
            <w:r>
              <w:br/>
            </w:r>
            <w:r>
              <w:rPr>
                <w:rStyle w:val="row-content-rich-text"/>
              </w:rPr>
              <w:t xml:space="preserve">3906 Bereavement Allowance</w:t>
            </w:r>
            <w:r>
              <w:br/>
            </w:r>
            <w:r>
              <w:rPr>
                <w:rStyle w:val="row-content-rich-text"/>
              </w:rPr>
              <w:t xml:space="preserve">3907 Widow Allowance (Widow B Pension)</w:t>
            </w:r>
            <w:r>
              <w:br/>
            </w:r>
            <w:r>
              <w:rPr>
                <w:rStyle w:val="row-content-rich-text"/>
              </w:rPr>
              <w:t xml:space="preserve">3908 Carer Payment </w:t>
            </w:r>
            <w:r>
              <w:br/>
            </w:r>
            <w:r>
              <w:rPr>
                <w:rStyle w:val="row-content-rich-text"/>
              </w:rPr>
              <w:t xml:space="preserve">3911 Service pension (DVA)</w:t>
            </w:r>
            <w:r>
              <w:br/>
            </w:r>
            <w:r>
              <w:rPr>
                <w:rStyle w:val="row-content-rich-text"/>
              </w:rPr>
              <w:t xml:space="preserve">3912 Disability pension (DVA)</w:t>
            </w:r>
            <w:r>
              <w:br/>
            </w:r>
            <w:r>
              <w:rPr>
                <w:rStyle w:val="row-content-rich-text"/>
              </w:rPr>
              <w:t xml:space="preserve">3913 Partner Allowance</w:t>
            </w:r>
            <w:r>
              <w:br/>
            </w:r>
            <w:r>
              <w:rPr>
                <w:rStyle w:val="row-content-rich-text"/>
              </w:rPr>
              <w:t xml:space="preserve">3914 War Widow's Pension (DVA) </w:t>
            </w:r>
            <w:r>
              <w:br/>
            </w:r>
            <w:r>
              <w:rPr>
                <w:rStyle w:val="row-content-rich-text"/>
              </w:rPr>
              <w:t xml:space="preserve">3915 Special Benefit</w:t>
            </w:r>
            <w:r>
              <w:br/>
            </w:r>
            <w:r>
              <w:rPr>
                <w:rStyle w:val="row-content-rich-text"/>
              </w:rPr>
              <w:t xml:space="preserve">3916 Mobility Allowance</w:t>
            </w:r>
            <w:r>
              <w:br/>
            </w:r>
            <w:r>
              <w:rPr>
                <w:rStyle w:val="row-content-rich-text"/>
              </w:rPr>
              <w:t xml:space="preserve">3917 CDEP Participant Supplement</w:t>
            </w:r>
            <w:r>
              <w:br/>
            </w:r>
            <w:r>
              <w:rPr>
                <w:rStyle w:val="row-content-rich-text"/>
              </w:rPr>
              <w:t xml:space="preserve">3918 Pensions and allowances from overseas governments </w:t>
            </w:r>
            <w:r>
              <w:br/>
            </w:r>
            <w:r>
              <w:rPr>
                <w:rStyle w:val="row-content-rich-text"/>
              </w:rPr>
              <w:t xml:space="preserve">3999 Other Government cash pensions and allowances, nec</w:t>
            </w:r>
            <w:r>
              <w:br/>
            </w:r>
            <w:r>
              <w:rPr>
                <w:rStyle w:val="row-content-rich-text"/>
              </w:rPr>
              <w:t xml:space="preserve"> </w:t>
            </w:r>
            <w:r>
              <w:rPr>
                <w:rStyle w:val="row-content-rich-text"/>
              </w:rPr>
              <w:t xml:space="preserve">4101 Interest</w:t>
            </w:r>
            <w:r>
              <w:br/>
            </w:r>
            <w:r>
              <w:rPr>
                <w:rStyle w:val="row-content-rich-text"/>
              </w:rPr>
              <w:t xml:space="preserve">4102 Dividends</w:t>
            </w:r>
            <w:r>
              <w:br/>
            </w:r>
            <w:r>
              <w:rPr>
                <w:rStyle w:val="row-content-rich-text"/>
              </w:rPr>
              <w:t xml:space="preserve">4103 Rent</w:t>
            </w:r>
            <w:r>
              <w:br/>
            </w:r>
            <w:r>
              <w:rPr>
                <w:rStyle w:val="row-content-rich-text"/>
              </w:rPr>
              <w:t xml:space="preserve">4104 Royalties</w:t>
            </w:r>
            <w:r>
              <w:br/>
            </w:r>
            <w:r>
              <w:rPr>
                <w:rStyle w:val="row-content-rich-text"/>
              </w:rPr>
              <w:t xml:space="preserve">4199 Other property cash income, nec</w:t>
            </w:r>
            <w:r>
              <w:br/>
            </w:r>
            <w:r>
              <w:rPr>
                <w:rStyle w:val="row-content-rich-text"/>
              </w:rPr>
              <w:t xml:space="preserve">4201 Superannuation/annuities</w:t>
            </w:r>
            <w:r>
              <w:br/>
            </w:r>
            <w:r>
              <w:rPr>
                <w:rStyle w:val="row-content-rich-text"/>
              </w:rPr>
              <w:t xml:space="preserve">4301 Workers compensation/sickness/accident insurance</w:t>
            </w:r>
            <w:r>
              <w:br/>
            </w:r>
            <w:r>
              <w:rPr>
                <w:rStyle w:val="row-content-rich-text"/>
              </w:rPr>
              <w:t xml:space="preserve">4399 Other transfers from private organisations, nec</w:t>
            </w:r>
            <w:r>
              <w:br/>
            </w:r>
            <w:r>
              <w:rPr>
                <w:rStyle w:val="row-content-rich-text"/>
              </w:rPr>
              <w:t xml:space="preserve">4401 Child support</w:t>
            </w:r>
            <w:r>
              <w:br/>
            </w:r>
            <w:r>
              <w:rPr>
                <w:rStyle w:val="row-content-rich-text"/>
              </w:rPr>
              <w:t xml:space="preserve">4402 Gifts from relatives</w:t>
            </w:r>
            <w:r>
              <w:br/>
            </w:r>
            <w:r>
              <w:rPr>
                <w:rStyle w:val="row-content-rich-text"/>
              </w:rPr>
              <w:t xml:space="preserve">4499 Other cash transfers from other households, nec</w:t>
            </w:r>
            <w:r>
              <w:br/>
            </w:r>
            <w:r>
              <w:rPr>
                <w:rStyle w:val="row-content-rich-text"/>
              </w:rPr>
              <w:t xml:space="preserve">4501 Scholarships</w:t>
            </w:r>
            <w:r>
              <w:br/>
            </w:r>
            <w:r>
              <w:rPr>
                <w:rStyle w:val="row-content-rich-text"/>
              </w:rPr>
              <w:t xml:space="preserve">4999 Other cash income, nec</w:t>
            </w:r>
            <w:r>
              <w:br/>
            </w:r>
            <w:r>
              <w:rPr>
                <w:rStyle w:val="row-content-rich-text"/>
              </w:rPr>
              <w:t xml:space="preserve">8888 Nil income</w:t>
            </w:r>
            <w:r>
              <w:br/>
            </w:r>
            <w:r>
              <w:rPr>
                <w:rStyle w:val="row-content-rich-text"/>
              </w:rPr>
              <w:t xml:space="preserve">9999 Not stated/not known/inadequately described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for the National Community Services Data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ed9b347cfc4f30">
              <w:r>
                <w:rPr>
                  <w:rStyle w:val="Hyperlink"/>
                </w:rPr>
                <w:t xml:space="preserve">Person—source of cash income (principal), code N</w:t>
              </w:r>
            </w:hyperlink>
          </w:p>
          <w:p>
            <w:pPr>
              <w:pStyle w:val="registration-status"/>
              <w:spacing w:before="0" w:after="0"/>
            </w:pPr>
            <w:hyperlink w:history="true" r:id="Rb2135fa4e1614d44">
              <w:r>
                <w:rPr>
                  <w:rStyle w:val="Hyperlink"/>
                  <w:color w:val="244061"/>
                </w:rPr>
                <w:t xml:space="preserve">Community Services (retired)</w:t>
              </w:r>
            </w:hyperlink>
            <w:r>
              <w:rPr>
                <w:rStyle w:val="row-content"/>
                <w:color w:val="244061"/>
              </w:rPr>
              <w:t xml:space="preserve">, Standard 29/04/2006</w:t>
            </w:r>
          </w:p>
          <w:p>
            <w:r>
              <w:br/>
            </w:r>
            <w:r>
              <w:rPr>
                <w:rStyle w:val="row-content"/>
              </w:rPr>
              <w:t xml:space="preserve">See also </w:t>
            </w:r>
            <w:hyperlink w:history="true" r:id="R68eb2eff41aa44c3">
              <w:r>
                <w:rPr>
                  <w:rStyle w:val="Hyperlink"/>
                </w:rPr>
                <w:t xml:space="preserve">Person—source of cash income (all) code NN</w:t>
              </w:r>
            </w:hyperlink>
          </w:p>
          <w:p>
            <w:pPr>
              <w:pStyle w:val="registration-status"/>
              <w:spacing w:before="0" w:after="0"/>
            </w:pPr>
            <w:hyperlink w:history="true" r:id="R6b9910b94bb945a8">
              <w:r>
                <w:rPr>
                  <w:rStyle w:val="Hyperlink"/>
                  <w:color w:val="244061"/>
                </w:rPr>
                <w:t xml:space="preserve">Community Services (retired)</w:t>
              </w:r>
            </w:hyperlink>
            <w:r>
              <w:rPr>
                <w:rStyle w:val="row-content"/>
                <w:color w:val="244061"/>
              </w:rPr>
              <w:t xml:space="preserve">, Recorded 01/07/2009</w:t>
            </w:r>
          </w:p>
          <w:p>
            <w:r>
              <w:br/>
            </w:r>
          </w:p>
        </w:tc>
      </w:tr>
    </w:tbl>
    <w:p/>
    <w:tbl>
      <w:tblPr>
        <w:tblStyle w:val="TableGrid"/>
        <w:tblW w:w="0" w:type="auto"/>
      </w:tblPr>
    </w:tbl>
    <w:p>
      <w:r>
        <w:br/>
      </w:r>
    </w:p>
    <w:sectPr>
      <w:footerReference xmlns:r="http://schemas.openxmlformats.org/officeDocument/2006/relationships" w:type="default" r:id="Rcc5f7a66530b42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367880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2733c33c0647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5f7a66530b4202" /><Relationship Type="http://schemas.openxmlformats.org/officeDocument/2006/relationships/header" Target="/word/header1.xml" Id="Rf33949395b6d466f" /><Relationship Type="http://schemas.openxmlformats.org/officeDocument/2006/relationships/settings" Target="/word/settings.xml" Id="Rf060965f865d4dc9" /><Relationship Type="http://schemas.openxmlformats.org/officeDocument/2006/relationships/styles" Target="/word/styles.xml" Id="Raaf3075286bd49bb" /><Relationship Type="http://schemas.openxmlformats.org/officeDocument/2006/relationships/hyperlink" Target="https://meteor-uat.aihw.gov.au/RegistrationAuthority/3" TargetMode="External" Id="Rcf803b0fa7fe4ad5" /><Relationship Type="http://schemas.openxmlformats.org/officeDocument/2006/relationships/hyperlink" Target="https://meteor-uat.aihw.gov.au/content/321061" TargetMode="External" Id="R6d37acfc5ecd461e" /><Relationship Type="http://schemas.openxmlformats.org/officeDocument/2006/relationships/hyperlink" Target="https://meteor-uat.aihw.gov.au/content/368023" TargetMode="External" Id="R8b5281aeadf54ce2" /><Relationship Type="http://schemas.openxmlformats.org/officeDocument/2006/relationships/hyperlink" Target="https://meteor-uat.aihw.gov.au/content/368035" TargetMode="External" Id="Re8e2ec14b8954bdc" /><Relationship Type="http://schemas.openxmlformats.org/officeDocument/2006/relationships/hyperlink" Target="https://meteor-uat.aihw.gov.au/content/368035" TargetMode="External" Id="R2915e3f6e5004150" /><Relationship Type="http://schemas.openxmlformats.org/officeDocument/2006/relationships/hyperlink" Target="http://www.abs.gov.au/Ausstats/abs@.nsf/66f306f503e529a5ca25697e0017661f/3b68ad17755e9f33ca256e6200738de8!OpenDocument" TargetMode="External" Id="R9e9b4fc957b143dc" /><Relationship Type="http://schemas.openxmlformats.org/officeDocument/2006/relationships/hyperlink" Target="https://meteor-uat.aihw.gov.au/content/368035" TargetMode="External" Id="R4cdee8c42897480e" /><Relationship Type="http://schemas.openxmlformats.org/officeDocument/2006/relationships/hyperlink" Target="https://meteor-uat.aihw.gov.au/content/327462" TargetMode="External" Id="R343df07f4e6842b8" /><Relationship Type="http://schemas.openxmlformats.org/officeDocument/2006/relationships/hyperlink" Target="https://meteor-uat.aihw.gov.au/content/321063" TargetMode="External" Id="Reaed9b347cfc4f30" /><Relationship Type="http://schemas.openxmlformats.org/officeDocument/2006/relationships/hyperlink" Target="https://meteor-uat.aihw.gov.au/RegistrationAuthority/3" TargetMode="External" Id="Rb2135fa4e1614d44" /><Relationship Type="http://schemas.openxmlformats.org/officeDocument/2006/relationships/hyperlink" Target="https://meteor-uat.aihw.gov.au/content/368032" TargetMode="External" Id="R68eb2eff41aa44c3" /><Relationship Type="http://schemas.openxmlformats.org/officeDocument/2006/relationships/hyperlink" Target="https://meteor-uat.aihw.gov.au/RegistrationAuthority/3" TargetMode="External" Id="R6b9910b94bb945a8" /></Relationships>
</file>

<file path=word/_rels/header1.xml.rels>&#65279;<?xml version="1.0" encoding="utf-8"?><Relationships xmlns="http://schemas.openxmlformats.org/package/2006/relationships"><Relationship Type="http://schemas.openxmlformats.org/officeDocument/2006/relationships/image" Target="/media/image.png" Id="R952733c33c0647a0" /></Relationships>
</file>