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4fb2f6efc45b9" /></Relationships>
</file>

<file path=word/document.xml><?xml version="1.0" encoding="utf-8"?>
<w:document xmlns:r="http://schemas.openxmlformats.org/officeDocument/2006/relationships" xmlns:w="http://schemas.openxmlformats.org/wordprocessingml/2006/main">
  <w:body>
    <w:p>
      <w:pPr>
        <w:pStyle w:val="Title"/>
      </w:pPr>
      <w:r>
        <w:t>Person—medication type, medication type (ATC/DDD) code A[{NN}AA{NN}]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type, medication type (ATC/DDD) code A[{NN}AA{NN}]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7f62748a04f52">
              <w:r>
                <w:rPr>
                  <w:rStyle w:val="Hyperlink"/>
                  <w:color w:val="244061"/>
                </w:rPr>
                <w:t xml:space="preserve">Health!</w:t>
              </w:r>
            </w:hyperlink>
            <w:r>
              <w:rPr>
                <w:rStyle w:val="row-content"/>
                <w:color w:val="244061"/>
              </w:rPr>
              <w:t xml:space="preserve">, Standard 25/08/2011</w:t>
            </w:r>
          </w:p>
          <w:p>
            <w:pPr>
              <w:spacing w:before="0" w:after="0"/>
            </w:pPr>
            <w:hyperlink w:history="true" r:id="R315b7a35f8c74c8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medication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14e1b876e84219">
              <w:r>
                <w:rPr>
                  <w:rStyle w:val="Hyperlink"/>
                </w:rPr>
                <w:t xml:space="preserve">Person—medication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8e877e22fd481b">
              <w:r>
                <w:rPr>
                  <w:rStyle w:val="Hyperlink"/>
                </w:rPr>
                <w:t xml:space="preserve">Medication type (ATC/DDD) code A[{NN}AA{NN}]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2ba6c48755b4eb8">
              <w:r>
                <w:rPr>
                  <w:rStyle w:val="Hyperlink"/>
                </w:rPr>
                <w:t xml:space="preserve">The Anatomical, Therapeutic, Chemical Classification System with Defined Daily Doses (ATC/DDD)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eecdac7e82e9448c">
              <w:r>
                <w:rPr>
                  <w:rStyle w:val="Hyperlink"/>
                </w:rPr>
                <w:t xml:space="preserve">World Health Organization Collaborating Centre for Drug Statistics Methodology 2009. ATC/DDD Index 2010. Norway: Norwegian Institute of Public Health.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eb8aad3ade4a2b">
              <w:r>
                <w:rPr>
                  <w:rStyle w:val="Hyperlink"/>
                </w:rPr>
                <w:t xml:space="preserve">Person—medication type, text [X(40)]</w:t>
              </w:r>
            </w:hyperlink>
          </w:p>
          <w:p>
            <w:pPr>
              <w:pStyle w:val="registration-status"/>
              <w:spacing w:before="0" w:after="0"/>
            </w:pPr>
            <w:hyperlink w:history="true" r:id="R165598fab39c432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e174f0a5f44808">
              <w:r>
                <w:rPr>
                  <w:rStyle w:val="Hyperlink"/>
                </w:rPr>
                <w:t xml:space="preserve">Prisoners in custody prescription medications NBEDS</w:t>
              </w:r>
            </w:hyperlink>
          </w:p>
          <w:p>
            <w:pPr>
              <w:pStyle w:val="registration-status"/>
              <w:spacing w:before="0" w:after="0"/>
            </w:pPr>
            <w:hyperlink w:history="true" r:id="R010c97406e514e1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Information on medication type is included in the Prisoner Health NBEDS as the National Prisoner Health Indicators include the indicator: Proportion of prisoners in custody who received medication during the data collection period.</w:t>
            </w:r>
          </w:p>
          <w:p>
            <w:r>
              <w:rPr>
                <w:rStyle w:val="row-content"/>
              </w:rPr>
              <w:t xml:space="preserve">The list of medications relevant to the Prisoners in custody prescription medications NBEDS includes:</w:t>
            </w:r>
          </w:p>
          <w:p>
            <w:r>
              <w:rPr>
                <w:rStyle w:val="row-content"/>
              </w:rPr>
              <w:t xml:space="preserve">Antidepressants (ATC/DDD code N06A)</w:t>
            </w:r>
            <w:r>
              <w:br/>
            </w:r>
            <w:r>
              <w:rPr>
                <w:rStyle w:val="row-content"/>
              </w:rPr>
              <w:t xml:space="preserve">Antipsychotics (ATC/DDD code N05A)</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w:t>
            </w:r>
            <w:r>
              <w:br/>
            </w:r>
            <w:r>
              <w:rPr>
                <w:rStyle w:val="row-content"/>
              </w:rPr>
              <w:t xml:space="preserve">Antivirals for HIV (ATC/DDD code J05AR)</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r>
              <w:br/>
            </w:r>
            <w:r>
              <w:rPr>
                <w:rStyle w:val="row-content"/>
              </w:rP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rPr>
                <w:rStyle w:val="row-content"/>
              </w:rPr>
              <w:t xml:space="preserve">S4 and OTC analgesics - Standard for the Uniform Scheduling of Medicines and Poisons Schedule 4 Prescription only medicine; and Schedule 2 Pharmacy medicine including paracetamol (ATC/DDD N02BE01), codeine (N02AA59), Tramadol (N02AX02), Ibuprofen (M01A)</w:t>
            </w:r>
          </w:p>
          <w:p>
            <w:r>
              <w:rPr>
                <w:rStyle w:val="row-content"/>
              </w:rPr>
              <w:t xml:space="preserve"> </w:t>
            </w:r>
          </w:p>
          <w:p>
            <w:r>
              <w:br/>
            </w:r>
            <w:r>
              <w:br/>
            </w:r>
            <w:hyperlink w:history="true" r:id="R3ad8721daaae4259">
              <w:r>
                <w:rPr>
                  <w:rStyle w:val="Hyperlink"/>
                </w:rPr>
                <w:t xml:space="preserve">Prisoners in custody prescription medications NBEDS </w:t>
              </w:r>
            </w:hyperlink>
          </w:p>
          <w:p>
            <w:pPr>
              <w:pStyle w:val="registration-status"/>
              <w:spacing w:before="0" w:after="0"/>
            </w:pPr>
            <w:hyperlink w:history="true" r:id="Rc78e88b8f9ec485c">
              <w:r>
                <w:rPr>
                  <w:rStyle w:val="Hyperlink"/>
                  <w:color w:val="244061"/>
                </w:rPr>
                <w:t xml:space="preserve">Health!</w:t>
              </w:r>
            </w:hyperlink>
            <w:r>
              <w:rPr>
                <w:rStyle w:val="row-content"/>
                <w:color w:val="244061"/>
              </w:rPr>
              <w:t xml:space="preserve">, Recorded 25/05/2018</w:t>
            </w:r>
          </w:p>
          <w:p>
            <w:r>
              <w:rPr>
                <w:rStyle w:val="row-content"/>
                <w:b/>
                <w:i/>
              </w:rPr>
              <w:t xml:space="preserve">DSS specific information: </w:t>
            </w:r>
          </w:p>
          <w:p>
            <w:r>
              <w:rPr>
                <w:rStyle w:val="row-content"/>
              </w:rPr>
              <w:t xml:space="preserve">Information on medication type is included in the Prisoner Health NBEDS as the National Prisoner Health Indicators include the indicator: Proportion of prisoners in custody who received medication during the data collection period.</w:t>
            </w:r>
          </w:p>
          <w:p>
            <w:r>
              <w:rPr>
                <w:rStyle w:val="row-content"/>
              </w:rPr>
              <w:t xml:space="preserve">The list of medications relevant to the Prisoners in custody prescription medications NBEDS includes:</w:t>
            </w:r>
          </w:p>
          <w:p>
            <w:r>
              <w:rPr>
                <w:rStyle w:val="row-content"/>
              </w:rPr>
              <w:t xml:space="preserve">Antidepressants/mood stabilisers (ATC/DDD code N06A)</w:t>
            </w:r>
            <w:r>
              <w:br/>
            </w:r>
            <w:r>
              <w:rPr>
                <w:rStyle w:val="row-content"/>
              </w:rPr>
              <w:t xml:space="preserve">Antipsychotics (ATC/DDD code N05A)</w:t>
            </w:r>
            <w:r>
              <w:br/>
            </w:r>
            <w:r>
              <w:rPr>
                <w:rStyle w:val="row-content"/>
              </w:rPr>
              <w:t xml:space="preserve">Analgesics-repeat only (ATC/DDD code N02)</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 antivirals for HIV (ATC/DDD code J05AR), infectious diseases</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r>
              <w:br/>
            </w:r>
            <w:r>
              <w:rPr>
                <w:rStyle w:val="row-content"/>
              </w:rP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rPr>
                <w:rStyle w:val="row-content"/>
              </w:rPr>
              <w:t xml:space="preserve">S4 and OTC analgesics - Standard for the Uniform Scheduling of Medicines and Poisons Schedule 4 Prescription only medicine; and Schedule 2 Pharmacy medicine including paracetamol (ATC/DDD N02BE01), codeine (N02AA59), Tramadol (N02AX02), Ibuprofen (M01A)</w:t>
            </w:r>
          </w:p>
          <w:p>
            <w:r>
              <w:br/>
            </w:r>
            <w:r>
              <w:br/>
            </w:r>
            <w:hyperlink w:history="true" r:id="R124cf6f279ff4ec0">
              <w:r>
                <w:rPr>
                  <w:rStyle w:val="Hyperlink"/>
                </w:rPr>
                <w:t xml:space="preserve">Prisoners in custody repeat medications DSS</w:t>
              </w:r>
            </w:hyperlink>
          </w:p>
          <w:p>
            <w:pPr>
              <w:pStyle w:val="registration-status"/>
              <w:spacing w:before="0" w:after="0"/>
            </w:pPr>
            <w:hyperlink w:history="true" r:id="Rc43bff3cc27248d2">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Information on medication type is included in the Prisoner Health DSS as the National Prisoner Health Indicators include the indicator: Proportion of prisoners in custody who received repeat medication.</w:t>
            </w:r>
          </w:p>
          <w:p>
            <w:r>
              <w:rPr>
                <w:rStyle w:val="row-content"/>
              </w:rPr>
              <w:t xml:space="preserve">The list of medications relevant to the Prisoners in Custody Repeat Medications DSS includes:</w:t>
            </w:r>
          </w:p>
          <w:p>
            <w:r>
              <w:rPr>
                <w:rStyle w:val="row-content"/>
              </w:rPr>
              <w:t xml:space="preserve">Antidepressants (ATC/DDD code N06A)</w:t>
            </w:r>
            <w:r>
              <w:br/>
            </w:r>
            <w:r>
              <w:rPr>
                <w:rStyle w:val="row-content"/>
              </w:rPr>
              <w:t xml:space="preserve">Antipsychotics (ATC/DDD code N05A)</w:t>
            </w:r>
            <w:r>
              <w:br/>
            </w:r>
            <w:r>
              <w:rPr>
                <w:rStyle w:val="row-content"/>
              </w:rPr>
              <w:t xml:space="preserve">Analgesics - repeat only (ATC/DDD code N02)</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w:t>
            </w:r>
            <w:r>
              <w:br/>
            </w:r>
            <w:r>
              <w:rPr>
                <w:rStyle w:val="row-content"/>
              </w:rPr>
              <w:t xml:space="preserve">Antivirals for HIV (ATC/DDD code J05AR)</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7bd7db58b514411">
              <w:r>
                <w:rPr>
                  <w:rStyle w:val="Hyperlink"/>
                </w:rPr>
                <w:t xml:space="preserve">National Health Performance Authority: Healthy Communities: Percentage of GP management occasions in which psychotropics were prescribed in the management of depression or anxiety 2009-2013</w:t>
              </w:r>
            </w:hyperlink>
          </w:p>
          <w:p>
            <w:pPr>
              <w:pStyle w:val="registration-status"/>
              <w:spacing w:before="0" w:after="0"/>
            </w:pPr>
            <w:hyperlink w:history="true" r:id="R907ebb085d564981">
              <w:r>
                <w:rPr>
                  <w:rStyle w:val="Hyperlink"/>
                  <w:color w:val="244061"/>
                </w:rPr>
                <w:t xml:space="preserve"> National Health Performance Authority (retired)</w:t>
              </w:r>
            </w:hyperlink>
            <w:r>
              <w:rPr>
                <w:rStyle w:val="row-content"/>
                <w:color w:val="244061"/>
              </w:rPr>
              <w:t xml:space="preserve">, Retired 01/07/2016</w:t>
            </w:r>
          </w:p>
          <w:p>
            <w:r>
              <w:br/>
            </w:r>
            <w:hyperlink w:history="true" r:id="R190c3ca611b848a2">
              <w:r>
                <w:rPr>
                  <w:rStyle w:val="Hyperlink"/>
                </w:rPr>
                <w:t xml:space="preserve">National Health Performance Authority: Healthy Communities: Percentage of GP management occasions in which statins were prescribed in the management of a selected cardiovascular risk condition 2009-2013</w:t>
              </w:r>
            </w:hyperlink>
          </w:p>
          <w:p>
            <w:pPr>
              <w:pStyle w:val="registration-status"/>
              <w:spacing w:before="0" w:after="0"/>
            </w:pPr>
            <w:hyperlink w:history="true" r:id="R1b21fcf77d9241dc">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447c90b88f57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76c4d80d2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c90b88f574eb2" /><Relationship Type="http://schemas.openxmlformats.org/officeDocument/2006/relationships/header" Target="/word/header1.xml" Id="R711e1d68df5a4114" /><Relationship Type="http://schemas.openxmlformats.org/officeDocument/2006/relationships/settings" Target="/word/settings.xml" Id="R9d27c99984474603" /><Relationship Type="http://schemas.openxmlformats.org/officeDocument/2006/relationships/styles" Target="/word/styles.xml" Id="R1f17351f7f414351" /><Relationship Type="http://schemas.openxmlformats.org/officeDocument/2006/relationships/hyperlink" Target="https://meteor-uat.aihw.gov.au/RegistrationAuthority/14" TargetMode="External" Id="R1c77f62748a04f52" /><Relationship Type="http://schemas.openxmlformats.org/officeDocument/2006/relationships/hyperlink" Target="https://meteor-uat.aihw.gov.au/RegistrationAuthority/10" TargetMode="External" Id="R315b7a35f8c74c8b" /><Relationship Type="http://schemas.openxmlformats.org/officeDocument/2006/relationships/hyperlink" Target="https://meteor-uat.aihw.gov.au/content/365467" TargetMode="External" Id="R3714e1b876e84219" /><Relationship Type="http://schemas.openxmlformats.org/officeDocument/2006/relationships/hyperlink" Target="https://meteor-uat.aihw.gov.au/content/365463" TargetMode="External" Id="R8f8e877e22fd481b" /><Relationship Type="http://schemas.openxmlformats.org/officeDocument/2006/relationships/hyperlink" Target="https://meteor-uat.aihw.gov.au/content/334667" TargetMode="External" Id="R02ba6c48755b4eb8" /><Relationship Type="http://schemas.openxmlformats.org/officeDocument/2006/relationships/hyperlink" Target="http://www.whocc.no/atc_ddd_index/" TargetMode="External" Id="Reecdac7e82e9448c" /><Relationship Type="http://schemas.openxmlformats.org/officeDocument/2006/relationships/hyperlink" Target="https://meteor-uat.aihw.gov.au/content/624732" TargetMode="External" Id="Rceeb8aad3ade4a2b" /><Relationship Type="http://schemas.openxmlformats.org/officeDocument/2006/relationships/hyperlink" Target="https://meteor-uat.aihw.gov.au/RegistrationAuthority/14" TargetMode="External" Id="R165598fab39c4322" /><Relationship Type="http://schemas.openxmlformats.org/officeDocument/2006/relationships/hyperlink" Target="https://meteor-uat.aihw.gov.au/content/618258" TargetMode="External" Id="Re3e174f0a5f44808" /><Relationship Type="http://schemas.openxmlformats.org/officeDocument/2006/relationships/hyperlink" Target="https://meteor-uat.aihw.gov.au/RegistrationAuthority/14" TargetMode="External" Id="R010c97406e514e13" /><Relationship Type="http://schemas.openxmlformats.org/officeDocument/2006/relationships/hyperlink" Target="https://meteor-uat.aihw.gov.au/content/696618" TargetMode="External" Id="R3ad8721daaae4259" /><Relationship Type="http://schemas.openxmlformats.org/officeDocument/2006/relationships/hyperlink" Target="https://meteor-uat.aihw.gov.au/RegistrationAuthority/14" TargetMode="External" Id="Rc78e88b8f9ec485c" /><Relationship Type="http://schemas.openxmlformats.org/officeDocument/2006/relationships/hyperlink" Target="https://meteor-uat.aihw.gov.au/content/396074" TargetMode="External" Id="R124cf6f279ff4ec0" /><Relationship Type="http://schemas.openxmlformats.org/officeDocument/2006/relationships/hyperlink" Target="https://meteor-uat.aihw.gov.au/RegistrationAuthority/14" TargetMode="External" Id="Rc43bff3cc27248d2" /><Relationship Type="http://schemas.openxmlformats.org/officeDocument/2006/relationships/hyperlink" Target="https://meteor-uat.aihw.gov.au/content/593772" TargetMode="External" Id="R97bd7db58b514411" /><Relationship Type="http://schemas.openxmlformats.org/officeDocument/2006/relationships/hyperlink" Target="https://meteor-uat.aihw.gov.au/RegistrationAuthority/10" TargetMode="External" Id="R907ebb085d564981" /><Relationship Type="http://schemas.openxmlformats.org/officeDocument/2006/relationships/hyperlink" Target="https://meteor-uat.aihw.gov.au/content/593789" TargetMode="External" Id="R190c3ca611b848a2" /><Relationship Type="http://schemas.openxmlformats.org/officeDocument/2006/relationships/hyperlink" Target="https://meteor-uat.aihw.gov.au/RegistrationAuthority/10" TargetMode="External" Id="R1b21fcf77d9241dc" /></Relationships>
</file>

<file path=word/_rels/header1.xml.rels>&#65279;<?xml version="1.0" encoding="utf-8"?><Relationships xmlns="http://schemas.openxmlformats.org/package/2006/relationships"><Relationship Type="http://schemas.openxmlformats.org/officeDocument/2006/relationships/image" Target="/media/image.png" Id="R56876c4d80d248bd" /></Relationships>
</file>