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a8ecbbb65c4bfd"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NMDS 2008-10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NMDS 2008-10</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de82892151704d04">
                    <w:r>
                      <w:rPr>
                        <w:rStyle w:val="Hyperlink"/>
                      </w:rPr>
                      <w:t xml:space="preserve">Injecting drug use status</w:t>
                    </w:r>
                  </w:hyperlink>
                </w:p>
              </w:tc>
              <w:tc>
                <w:tcPr>
                  <w:vAlign w:val="top"/>
                </w:tcPr>
                <w:p>
                  <w:r>
                    <w:t xml:space="preserve">270113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Last injected three months ago or less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Last injected more than three months ago but less than or equal to twelve months ago</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Last injected more than twelve months ago</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Never injected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68240bf7d034073">
                    <w:r>
                      <w:rPr>
                        <w:rStyle w:val="Hyperlink"/>
                      </w:rPr>
                      <w:t xml:space="preserve">Method of use for principal drug of concern</w:t>
                    </w:r>
                  </w:hyperlink>
                </w:p>
              </w:tc>
              <w:tc>
                <w:tcPr>
                  <w:vAlign w:val="top"/>
                </w:tcPr>
                <w:p>
                  <w:r>
                    <w:t xml:space="preserve">270111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Ingests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Smokes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Injects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Sniffs (powder)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Inhales (vapour)</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6566af010214bfb">
                    <w:r>
                      <w:rPr>
                        <w:rStyle w:val="Hyperlink"/>
                      </w:rPr>
                      <w:t xml:space="preserve">Reason for cessation of treatment episode for alcohol and other drugs</w:t>
                    </w:r>
                  </w:hyperlink>
                </w:p>
              </w:tc>
              <w:tc>
                <w:tcPr>
                  <w:vAlign w:val="top"/>
                </w:tcPr>
                <w:p>
                  <w:r>
                    <w:t xml:space="preserve">270011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Treatment completed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Change in main treatment type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Change in the delivery setting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Change in the principal drug of concern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Transferred to another service provider</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Ceased to participate against advice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Ceased to participate without notice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Ceased to participate involuntary (non-compliance)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Ceased to participate at expiation</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Ceased to participate by mutual agreement</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Drug court and /or sanctioned by court diversion service</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Imprisoned, other than drug court sanctioned</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Died</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0bc7724128c4954">
                    <w:r>
                      <w:rPr>
                        <w:rStyle w:val="Hyperlink"/>
                      </w:rPr>
                      <w:t xml:space="preserve">Client type (alcohol and other drug treatment services)</w:t>
                    </w:r>
                  </w:hyperlink>
                </w:p>
              </w:tc>
              <w:tc>
                <w:tcPr>
                  <w:vAlign w:val="top"/>
                </w:tcPr>
                <w:p>
                  <w:r>
                    <w:t xml:space="preserve">270083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Own alcohol or other drug use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Other's alcohol or other drug use</w:t>
                        </w:r>
                      </w:p>
                    </w:tc>
                  </w:tr>
                </w:tbl>
                <w:p/>
              </w:tc>
            </w:tr>
            <w:tr>
              <w:trPr/>
              <w:tc>
                <w:tcPr>
                  <w:tcMar>
                    <w:right w:w="29" w:type="dxa"/>
                  </w:tcMar>
                  <w:vAlign w:val="top"/>
                </w:tcPr>
                <w:p>
                  <w:pPr>
                    <w:keepNext/>
                    <w:jc w:val="center"/>
                  </w:pPr>
                  <w:r>
                    <w:t xml:space="preserve">-</w:t>
                  </w:r>
                </w:p>
              </w:tc>
              <w:tc>
                <w:tcPr>
                  <w:tcMar/>
                  <w:vAlign w:val="top"/>
                </w:tcPr>
                <w:p>
                  <w:hyperlink w:history="true" r:id="R520399d1f0cf4d42">
                    <w:r>
                      <w:rPr>
                        <w:rStyle w:val="Hyperlink"/>
                      </w:rPr>
                      <w:t xml:space="preserve">Other drug of concern</w:t>
                    </w:r>
                  </w:hyperlink>
                </w:p>
              </w:tc>
              <w:tc>
                <w:tcPr>
                  <w:vAlign w:val="top"/>
                </w:tcPr>
                <w:p>
                  <w:r>
                    <w:t xml:space="preserve">270110</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0005 </w:t>
                        </w:r>
                      </w:p>
                    </w:tc>
                    <w:tc>
                      <w:tcPr>
                        <w:tcBorders>
                          <w:top w:val="none" w:color="000000" w:sz="0"/>
                          <w:left w:val="none" w:color="000000" w:sz="0"/>
                          <w:bottom w:val="none" w:color="000000" w:sz="0"/>
                          <w:right w:val="none" w:color="000000" w:sz="0"/>
                        </w:tcBorders>
                        <w:tcMar/>
                        <w:vAlign w:val="top"/>
                      </w:tcPr>
                      <w:p>
                        <w:r>
                          <w:t xml:space="preserve">Opioid analgesics not further defined</w:t>
                        </w:r>
                      </w:p>
                    </w:tc>
                  </w:tr>
                  <w:tr>
                    <w:trPr/>
                    <w:tc>
                      <w:tcPr>
                        <w:tcW w:w="1000" w:type="pct"/>
                        <w:tcBorders>
                          <w:top w:val="none" w:color="000000" w:sz="0"/>
                          <w:left w:val="none" w:color="000000" w:sz="0"/>
                          <w:bottom w:val="none" w:color="000000" w:sz="0"/>
                          <w:right w:val="none" w:color="000000" w:sz="0"/>
                        </w:tcBorders>
                        <w:tcMar/>
                        <w:vAlign w:val="top"/>
                      </w:tcPr>
                      <w:p>
                        <w:r>
                          <w:t xml:space="preserve">0006 </w:t>
                        </w:r>
                      </w:p>
                    </w:tc>
                    <w:tc>
                      <w:tcPr>
                        <w:tcBorders>
                          <w:top w:val="none" w:color="000000" w:sz="0"/>
                          <w:left w:val="none" w:color="000000" w:sz="0"/>
                          <w:bottom w:val="none" w:color="000000" w:sz="0"/>
                          <w:right w:val="none" w:color="000000" w:sz="0"/>
                        </w:tcBorders>
                        <w:tcMar/>
                        <w:vAlign w:val="top"/>
                      </w:tcPr>
                      <w:p>
                        <w:r>
                          <w:t xml:space="preserve">Psychostimulants not further defined</w:t>
                        </w:r>
                      </w:p>
                    </w:tc>
                  </w:tr>
                </w:tbl>
                <w:p/>
              </w:tc>
            </w:tr>
            <w:tr>
              <w:trPr/>
              <w:tc>
                <w:tcPr>
                  <w:tcMar>
                    <w:right w:w="29" w:type="dxa"/>
                  </w:tcMar>
                  <w:vAlign w:val="top"/>
                </w:tcPr>
                <w:p>
                  <w:pPr>
                    <w:keepNext/>
                    <w:jc w:val="center"/>
                  </w:pPr>
                  <w:r>
                    <w:t xml:space="preserve">-</w:t>
                  </w:r>
                </w:p>
              </w:tc>
              <w:tc>
                <w:tcPr>
                  <w:tcMar/>
                  <w:vAlign w:val="top"/>
                </w:tcPr>
                <w:p>
                  <w:hyperlink w:history="true" r:id="R01eb9b0b757e4034">
                    <w:r>
                      <w:rPr>
                        <w:rStyle w:val="Hyperlink"/>
                      </w:rPr>
                      <w:t xml:space="preserve">Principal drug of concern</w:t>
                    </w:r>
                  </w:hyperlink>
                </w:p>
              </w:tc>
              <w:tc>
                <w:tcPr>
                  <w:vAlign w:val="top"/>
                </w:tcPr>
                <w:p>
                  <w:r>
                    <w:t xml:space="preserve">270109</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0005 </w:t>
                        </w:r>
                      </w:p>
                    </w:tc>
                    <w:tc>
                      <w:tcPr>
                        <w:tcBorders>
                          <w:top w:val="none" w:color="000000" w:sz="0"/>
                          <w:left w:val="none" w:color="000000" w:sz="0"/>
                          <w:bottom w:val="none" w:color="000000" w:sz="0"/>
                          <w:right w:val="none" w:color="000000" w:sz="0"/>
                        </w:tcBorders>
                        <w:tcMar/>
                        <w:vAlign w:val="top"/>
                      </w:tcPr>
                      <w:p>
                        <w:r>
                          <w:t xml:space="preserve">Opioid analgesics not further defined</w:t>
                        </w:r>
                      </w:p>
                    </w:tc>
                  </w:tr>
                  <w:tr>
                    <w:trPr/>
                    <w:tc>
                      <w:tcPr>
                        <w:tcW w:w="1000" w:type="pct"/>
                        <w:tcBorders>
                          <w:top w:val="none" w:color="000000" w:sz="0"/>
                          <w:left w:val="none" w:color="000000" w:sz="0"/>
                          <w:bottom w:val="none" w:color="000000" w:sz="0"/>
                          <w:right w:val="none" w:color="000000" w:sz="0"/>
                        </w:tcBorders>
                        <w:tcMar/>
                        <w:vAlign w:val="top"/>
                      </w:tcPr>
                      <w:p>
                        <w:r>
                          <w:t xml:space="preserve">0006 </w:t>
                        </w:r>
                      </w:p>
                    </w:tc>
                    <w:tc>
                      <w:tcPr>
                        <w:tcBorders>
                          <w:top w:val="none" w:color="000000" w:sz="0"/>
                          <w:left w:val="none" w:color="000000" w:sz="0"/>
                          <w:bottom w:val="none" w:color="000000" w:sz="0"/>
                          <w:right w:val="none" w:color="000000" w:sz="0"/>
                        </w:tcBorders>
                        <w:tcMar/>
                        <w:vAlign w:val="top"/>
                      </w:tcPr>
                      <w:p>
                        <w:r>
                          <w:t xml:space="preserve">Psychostimulants not further defined</w:t>
                        </w:r>
                      </w:p>
                    </w:tc>
                  </w:tr>
                </w:tbl>
                <w:p/>
              </w:tc>
            </w:tr>
            <w:tr>
              <w:trPr/>
              <w:tc>
                <w:tcPr>
                  <w:tcMar>
                    <w:right w:w="29" w:type="dxa"/>
                  </w:tcMar>
                  <w:vAlign w:val="top"/>
                </w:tcPr>
                <w:p>
                  <w:pPr>
                    <w:keepNext/>
                    <w:jc w:val="center"/>
                  </w:pPr>
                  <w:r>
                    <w:t xml:space="preserve">-</w:t>
                  </w:r>
                </w:p>
              </w:tc>
              <w:tc>
                <w:tcPr>
                  <w:tcMar/>
                  <w:vAlign w:val="top"/>
                </w:tcPr>
                <w:p>
                  <w:hyperlink w:history="true" r:id="R71a2a02093bf420a">
                    <w:r>
                      <w:rPr>
                        <w:rStyle w:val="Hyperlink"/>
                      </w:rPr>
                      <w:t xml:space="preserve">Source of referral to alcohol and other drug treatment service</w:t>
                    </w:r>
                  </w:hyperlink>
                </w:p>
              </w:tc>
              <w:tc>
                <w:tcPr>
                  <w:vAlign w:val="top"/>
                </w:tcPr>
                <w:p>
                  <w:r>
                    <w:t xml:space="preserve">269946</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Self</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Family member/friend</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Medical practitioner</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Hospital</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Mental health 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Alcohol and other drug treatment service</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Other community/health 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Correctional service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Police diversion</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Court diversion</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1dedd55b6814b86">
                    <w:r>
                      <w:rPr>
                        <w:rStyle w:val="Hyperlink"/>
                      </w:rPr>
                      <w:t xml:space="preserve">Treatment delivery setting for alcohol and other drugs</w:t>
                    </w:r>
                  </w:hyperlink>
                </w:p>
              </w:tc>
              <w:tc>
                <w:tcPr>
                  <w:vAlign w:val="top"/>
                </w:tcPr>
                <w:p>
                  <w:r>
                    <w:t xml:space="preserve">270068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Non-residential treatment facility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Residential treatment facility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Home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Outreach setting</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db61127871994c2b">
                    <w:r>
                      <w:rPr>
                        <w:rStyle w:val="Hyperlink"/>
                      </w:rPr>
                      <w:t xml:space="preserve">Date of cessation of treatment episode for alcohol and other drugs</w:t>
                    </w:r>
                  </w:hyperlink>
                </w:p>
              </w:tc>
              <w:tc>
                <w:tcPr>
                  <w:vAlign w:val="top"/>
                </w:tcPr>
                <w:p>
                  <w:r>
                    <w:t xml:space="preserve">270067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2eed05189ef54c85">
                    <w:r>
                      <w:rPr>
                        <w:rStyle w:val="Hyperlink"/>
                      </w:rPr>
                      <w:t xml:space="preserve">Date of commencement of treatment episode for alcohol and other drugs</w:t>
                    </w:r>
                  </w:hyperlink>
                </w:p>
              </w:tc>
              <w:tc>
                <w:tcPr>
                  <w:vAlign w:val="top"/>
                </w:tcPr>
                <w:p>
                  <w:r>
                    <w:t xml:space="preserve">270069</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72ddc7d6e2e64fc1">
                    <w:r>
                      <w:rPr>
                        <w:rStyle w:val="Hyperlink"/>
                      </w:rPr>
                      <w:t xml:space="preserve">Main treatment type for alcohol and other drugs</w:t>
                    </w:r>
                  </w:hyperlink>
                </w:p>
              </w:tc>
              <w:tc>
                <w:tcPr>
                  <w:vAlign w:val="top"/>
                </w:tcPr>
                <w:p>
                  <w:r>
                    <w:t xml:space="preserve">270056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Withdrawal management (detoxification)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Counselling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Rehabilitation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Pharmacotherapy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Support and case management only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Information and education only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Assessment only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c3f30c9d961b4d97">
                    <w:r>
                      <w:rPr>
                        <w:rStyle w:val="Hyperlink"/>
                      </w:rPr>
                      <w:t xml:space="preserve">Other treatment type for alcohol and other drugs</w:t>
                    </w:r>
                  </w:hyperlink>
                </w:p>
              </w:tc>
              <w:tc>
                <w:tcPr>
                  <w:vAlign w:val="top"/>
                </w:tcPr>
                <w:p>
                  <w:r>
                    <w:t xml:space="preserve">270076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Withdrawal management (detoxification)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Counselling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Rehabilitation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Pharmacotherapy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9e8c58c8e3aa41da">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54b7bb54551d410d">
                    <w:r>
                      <w:rPr>
                        <w:rStyle w:val="Hyperlink"/>
                      </w:rPr>
                      <w:t xml:space="preserve">Country of birth</w:t>
                    </w:r>
                  </w:hyperlink>
                </w:p>
              </w:tc>
              <w:tc>
                <w:tcPr>
                  <w:vAlign w:val="top"/>
                </w:tcPr>
                <w:p>
                  <w:r>
                    <w:t xml:space="preserve">270277</w:t>
                  </w:r>
                </w:p>
              </w:tc>
              <w:tc>
                <w:tcPr>
                  <w:vAlign w:val="top"/>
                </w:tcPr>
                <w:p>
                  <w:r>
                    <w:t xml:space="preserve">Number
[4]</w:t>
                  </w:r>
                </w:p>
              </w:tc>
              <w:tc>
                <w:tcPr>
                  <w:vAlign w:val="top"/>
                </w:tcPr>
                <w:p>
                  <w:r>
                    <w:t xml:space="preserve">NNNN</w:t>
                  </w:r>
                  <w:r>
                    <w:br/>
                  </w:r>
                  <w:r>
                    <w:t xml:space="preserve">A SACC code set representing a country.</w:t>
                  </w:r>
                </w:p>
              </w:tc>
            </w:tr>
            <w:tr>
              <w:trPr/>
              <w:tc>
                <w:tcPr>
                  <w:tcMar>
                    <w:right w:w="29" w:type="dxa"/>
                  </w:tcMar>
                  <w:vAlign w:val="top"/>
                </w:tcPr>
                <w:p>
                  <w:pPr>
                    <w:keepNext/>
                    <w:jc w:val="center"/>
                  </w:pPr>
                  <w:r>
                    <w:t xml:space="preserve">-</w:t>
                  </w:r>
                </w:p>
              </w:tc>
              <w:tc>
                <w:tcPr>
                  <w:tcMar/>
                  <w:vAlign w:val="top"/>
                </w:tcPr>
                <w:p>
                  <w:hyperlink w:history="true" r:id="R54d2283c35aa4458">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dbe049787b0240ea">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12c556f5cac4006">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b520ecb2fb024c5e">
                    <w:r>
                      <w:rPr>
                        <w:rStyle w:val="Hyperlink"/>
                      </w:rPr>
                      <w:t xml:space="preserve">Preferred language</w:t>
                    </w:r>
                  </w:hyperlink>
                </w:p>
              </w:tc>
              <w:tc>
                <w:tcPr>
                  <w:vAlign w:val="top"/>
                </w:tcPr>
                <w:p>
                  <w:r>
                    <w:t xml:space="preserve">304128</w:t>
                  </w:r>
                </w:p>
              </w:tc>
              <w:tc>
                <w:tcPr>
                  <w:vAlign w:val="top"/>
                </w:tcPr>
                <w:p>
                  <w:r>
                    <w:t xml:space="preserve">Number
[4]</w:t>
                  </w:r>
                </w:p>
              </w:tc>
              <w:tc>
                <w:tcPr>
                  <w:vAlign w:val="top"/>
                </w:tcPr>
                <w:p>
                  <w:r>
                    <w:t xml:space="preserve">NN{NN}</w:t>
                  </w:r>
                  <w:r>
                    <w:br/>
                  </w:r>
                  <w:r>
                    <w:t xml:space="preserve">The ASCL (2005) code set representing languages.</w:t>
                  </w:r>
                </w:p>
              </w:tc>
            </w:tr>
            <w:tr>
              <w:trPr/>
              <w:tc>
                <w:tcPr>
                  <w:tcMar>
                    <w:right w:w="29" w:type="dxa"/>
                  </w:tcMar>
                  <w:vAlign w:val="top"/>
                </w:tcPr>
                <w:p>
                  <w:pPr>
                    <w:keepNext/>
                    <w:jc w:val="center"/>
                  </w:pPr>
                  <w:r>
                    <w:t xml:space="preserve">-</w:t>
                  </w:r>
                </w:p>
              </w:tc>
              <w:tc>
                <w:tcPr>
                  <w:tcMar/>
                  <w:vAlign w:val="top"/>
                </w:tcPr>
                <w:p>
                  <w:hyperlink w:history="true" r:id="R4d20ffa6307d49d5">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5cbcf2a7fed4b7d">
                    <w:r>
                      <w:rPr>
                        <w:rStyle w:val="Hyperlink"/>
                      </w:rPr>
                      <w:t xml:space="preserve">Geographical location of service delivery outlet</w:t>
                    </w:r>
                  </w:hyperlink>
                </w:p>
              </w:tc>
              <w:tc>
                <w:tcPr>
                  <w:vAlign w:val="top"/>
                </w:tcPr>
                <w:p>
                  <w:r>
                    <w:t xml:space="preserve">362295</w:t>
                  </w:r>
                </w:p>
              </w:tc>
              <w:tc>
                <w:tcPr>
                  <w:vAlign w:val="top"/>
                </w:tcPr>
                <w:p>
                  <w:r>
                    <w:t xml:space="preserve">Number
[5]</w:t>
                  </w:r>
                </w:p>
              </w:tc>
              <w:tc>
                <w:tcPr>
                  <w:vAlign w:val="top"/>
                </w:tcPr>
                <w:p>
                  <w:r>
                    <w:t xml:space="preserve">NNNNN</w:t>
                  </w:r>
                  <w:r>
                    <w:br/>
                  </w:r>
                </w:p>
                <w:p>
                  <w:r>
                    <w:t xml:space="preserve">The ASGC (2007) code set representing geographical location.</w:t>
                  </w:r>
                </w:p>
              </w:tc>
            </w:tr>
          </w:tbl>
          <w:p/>
        </w:tc>
      </w:tr>
    </w:tbl>
    <w:p>
      <w:r>
        <w:br/>
      </w:r>
    </w:p>
    <w:sectPr>
      <w:footerReference xmlns:r="http://schemas.openxmlformats.org/officeDocument/2006/relationships" w:type="default" r:id="Ra6d491f0dc424457"/>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362318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e016b0711547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d491f0dc424457" /><Relationship Type="http://schemas.openxmlformats.org/officeDocument/2006/relationships/header" Target="/word/header1.xml" Id="R0ee4030907b34408" /><Relationship Type="http://schemas.openxmlformats.org/officeDocument/2006/relationships/settings" Target="/word/settings.xml" Id="R048128a2b38e416e" /><Relationship Type="http://schemas.openxmlformats.org/officeDocument/2006/relationships/styles" Target="/word/styles.xml" Id="R2d894025a0fb4b96" /><Relationship Type="http://schemas.openxmlformats.org/officeDocument/2006/relationships/hyperlink" Target="https://meteor-uat.aihw.gov.au/content/270113" TargetMode="External" Id="Rde82892151704d04" /><Relationship Type="http://schemas.openxmlformats.org/officeDocument/2006/relationships/hyperlink" Target="https://meteor-uat.aihw.gov.au/content/270111" TargetMode="External" Id="Rd68240bf7d034073" /><Relationship Type="http://schemas.openxmlformats.org/officeDocument/2006/relationships/hyperlink" Target="https://meteor-uat.aihw.gov.au/content/270011" TargetMode="External" Id="Rf6566af010214bfb" /><Relationship Type="http://schemas.openxmlformats.org/officeDocument/2006/relationships/hyperlink" Target="https://meteor-uat.aihw.gov.au/content/270083" TargetMode="External" Id="Re0bc7724128c4954" /><Relationship Type="http://schemas.openxmlformats.org/officeDocument/2006/relationships/hyperlink" Target="https://meteor-uat.aihw.gov.au/content/270110" TargetMode="External" Id="R520399d1f0cf4d42" /><Relationship Type="http://schemas.openxmlformats.org/officeDocument/2006/relationships/hyperlink" Target="https://meteor-uat.aihw.gov.au/content/270109" TargetMode="External" Id="R01eb9b0b757e4034" /><Relationship Type="http://schemas.openxmlformats.org/officeDocument/2006/relationships/hyperlink" Target="https://meteor-uat.aihw.gov.au/content/269946" TargetMode="External" Id="R71a2a02093bf420a" /><Relationship Type="http://schemas.openxmlformats.org/officeDocument/2006/relationships/hyperlink" Target="https://meteor-uat.aihw.gov.au/content/270068" TargetMode="External" Id="R91dedd55b6814b86" /><Relationship Type="http://schemas.openxmlformats.org/officeDocument/2006/relationships/hyperlink" Target="https://meteor-uat.aihw.gov.au/content/270067" TargetMode="External" Id="Rdb61127871994c2b" /><Relationship Type="http://schemas.openxmlformats.org/officeDocument/2006/relationships/hyperlink" Target="https://meteor-uat.aihw.gov.au/content/270069" TargetMode="External" Id="R2eed05189ef54c85" /><Relationship Type="http://schemas.openxmlformats.org/officeDocument/2006/relationships/hyperlink" Target="https://meteor-uat.aihw.gov.au/content/270056" TargetMode="External" Id="R72ddc7d6e2e64fc1" /><Relationship Type="http://schemas.openxmlformats.org/officeDocument/2006/relationships/hyperlink" Target="https://meteor-uat.aihw.gov.au/content/270076" TargetMode="External" Id="Rc3f30c9d961b4d97" /><Relationship Type="http://schemas.openxmlformats.org/officeDocument/2006/relationships/hyperlink" Target="https://meteor-uat.aihw.gov.au/content/269973" TargetMode="External" Id="R9e8c58c8e3aa41da" /><Relationship Type="http://schemas.openxmlformats.org/officeDocument/2006/relationships/hyperlink" Target="https://meteor-uat.aihw.gov.au/content/270277" TargetMode="External" Id="R54b7bb54551d410d" /><Relationship Type="http://schemas.openxmlformats.org/officeDocument/2006/relationships/hyperlink" Target="https://meteor-uat.aihw.gov.au/content/287007" TargetMode="External" Id="R54d2283c35aa4458" /><Relationship Type="http://schemas.openxmlformats.org/officeDocument/2006/relationships/hyperlink" Target="https://meteor-uat.aihw.gov.au/content/291036" TargetMode="External" Id="Rdbe049787b0240ea" /><Relationship Type="http://schemas.openxmlformats.org/officeDocument/2006/relationships/hyperlink" Target="https://meteor-uat.aihw.gov.au/content/290046" TargetMode="External" Id="R412c556f5cac4006" /><Relationship Type="http://schemas.openxmlformats.org/officeDocument/2006/relationships/hyperlink" Target="https://meteor-uat.aihw.gov.au/content/304128" TargetMode="External" Id="Rb520ecb2fb024c5e" /><Relationship Type="http://schemas.openxmlformats.org/officeDocument/2006/relationships/hyperlink" Target="https://meteor-uat.aihw.gov.au/content/287316" TargetMode="External" Id="R4d20ffa6307d49d5" /><Relationship Type="http://schemas.openxmlformats.org/officeDocument/2006/relationships/hyperlink" Target="https://meteor-uat.aihw.gov.au/content/362295" TargetMode="External" Id="Rb5cbcf2a7fed4b7d" /></Relationships>
</file>

<file path=word/_rels/header1.xml.rels>&#65279;<?xml version="1.0" encoding="utf-8"?><Relationships xmlns="http://schemas.openxmlformats.org/package/2006/relationships"><Relationship Type="http://schemas.openxmlformats.org/officeDocument/2006/relationships/image" Target="/media/image.png" Id="R43e016b071154744" /></Relationships>
</file>