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204b0539d7420d" /></Relationships>
</file>

<file path=word/document.xml><?xml version="1.0" encoding="utf-8"?>
<w:document xmlns:r="http://schemas.openxmlformats.org/officeDocument/2006/relationships" xmlns:w="http://schemas.openxmlformats.org/wordprocessingml/2006/main">
  <w:body>
    <w:p>
      <w:pPr>
        <w:pStyle w:val="Title"/>
      </w:pPr>
      <w:r>
        <w:t>Organisation—expenses,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Organisation—expenses,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expenses, total Australian currency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ba4bd773d4c1f">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mainly of wages, salaries and supplements, superannuation employer contributions, workers compensation premiums and payouts, purchases of goods and services and consumption of fixed capital (depreciation),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fd2fed0b4d4822">
              <w:r>
                <w:rPr>
                  <w:rStyle w:val="Hyperlink"/>
                </w:rPr>
                <w:t xml:space="preserve">Organisation—expenses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7f1b6d35fc4517">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Expenses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spacing w:after="160"/>
            </w:pPr>
            <w:r>
              <w:rPr>
                <w:rStyle w:val="row-content-rich-text"/>
              </w:rPr>
              <w:t xml:space="preserve">Includes:</w:t>
            </w:r>
          </w:p>
          <w:p>
            <w:pPr>
              <w:pStyle w:val="ListParagraph"/>
              <w:numPr>
                <w:ilvl w:val="0"/>
                <w:numId w:val="2"/>
              </w:numPr>
            </w:pPr>
            <w:r>
              <w:rPr>
                <w:rStyle w:val="row-content-rich-text"/>
              </w:rPr>
              <w:t xml:space="preserve">Salaries, wages and supplements</w:t>
            </w:r>
          </w:p>
          <w:p>
            <w:pPr>
              <w:pStyle w:val="ListParagraph"/>
              <w:numPr>
                <w:ilvl w:val="0"/>
                <w:numId w:val="2"/>
              </w:numPr>
            </w:pPr>
            <w:r>
              <w:rPr>
                <w:rStyle w:val="row-content-rich-text"/>
              </w:rPr>
              <w:t xml:space="preserve">Superannuation employer contributions</w:t>
            </w:r>
          </w:p>
          <w:p>
            <w:pPr>
              <w:pStyle w:val="ListParagraph"/>
              <w:numPr>
                <w:ilvl w:val="0"/>
                <w:numId w:val="2"/>
              </w:numPr>
            </w:pPr>
            <w:r>
              <w:rPr>
                <w:rStyle w:val="row-content-rich-text"/>
              </w:rPr>
              <w:t xml:space="preserve">Workers compensation premiums and payments</w:t>
            </w:r>
          </w:p>
          <w:p>
            <w:pPr>
              <w:pStyle w:val="ListParagraph"/>
              <w:numPr>
                <w:ilvl w:val="0"/>
                <w:numId w:val="2"/>
              </w:numPr>
            </w:pPr>
            <w:r>
              <w:rPr>
                <w:rStyle w:val="row-content-rich-text"/>
              </w:rPr>
              <w:t xml:space="preserve">Consumption of fixed capital (depreciation).</w:t>
            </w:r>
          </w:p>
          <w:p>
            <w:pPr>
              <w:pStyle w:val="ListParagraph"/>
              <w:numPr>
                <w:ilvl w:val="0"/>
                <w:numId w:val="2"/>
              </w:numPr>
            </w:pPr>
            <w:r>
              <w:rPr>
                <w:rStyle w:val="row-content-rich-text"/>
              </w:rPr>
              <w:t xml:space="preserve">Administrative expenses (excluding workers compensation premiums and payouts)</w:t>
            </w:r>
          </w:p>
          <w:p>
            <w:pPr>
              <w:pStyle w:val="ListParagraph"/>
              <w:numPr>
                <w:ilvl w:val="0"/>
                <w:numId w:val="2"/>
              </w:numPr>
            </w:pPr>
            <w:r>
              <w:rPr>
                <w:rStyle w:val="row-content-rich-text"/>
              </w:rPr>
              <w:t xml:space="preserve">Domestic services</w:t>
            </w:r>
          </w:p>
          <w:p>
            <w:pPr>
              <w:pStyle w:val="ListParagraph"/>
              <w:numPr>
                <w:ilvl w:val="0"/>
                <w:numId w:val="2"/>
              </w:numPr>
            </w:pPr>
            <w:r>
              <w:rPr>
                <w:rStyle w:val="row-content-rich-text"/>
              </w:rPr>
              <w:t xml:space="preserve">Drug supplies</w:t>
            </w:r>
          </w:p>
          <w:p>
            <w:pPr>
              <w:pStyle w:val="ListParagraph"/>
              <w:numPr>
                <w:ilvl w:val="0"/>
                <w:numId w:val="2"/>
              </w:numPr>
            </w:pPr>
            <w:r>
              <w:rPr>
                <w:rStyle w:val="row-content-rich-text"/>
              </w:rPr>
              <w:t xml:space="preserve">Food supplies</w:t>
            </w:r>
          </w:p>
          <w:p>
            <w:pPr>
              <w:pStyle w:val="ListParagraph"/>
              <w:numPr>
                <w:ilvl w:val="0"/>
                <w:numId w:val="2"/>
              </w:numPr>
            </w:pPr>
            <w:r>
              <w:rPr>
                <w:rStyle w:val="row-content-rich-text"/>
              </w:rPr>
              <w:t xml:space="preserve">Grants</w:t>
            </w:r>
          </w:p>
          <w:p>
            <w:pPr>
              <w:pStyle w:val="ListParagraph"/>
              <w:numPr>
                <w:ilvl w:val="0"/>
                <w:numId w:val="2"/>
              </w:numPr>
            </w:pPr>
            <w:r>
              <w:rPr>
                <w:rStyle w:val="row-content-rich-text"/>
              </w:rPr>
              <w:t xml:space="preserve">Medical and surgical supplies</w:t>
            </w:r>
          </w:p>
          <w:p>
            <w:pPr>
              <w:pStyle w:val="ListParagraph"/>
              <w:numPr>
                <w:ilvl w:val="0"/>
                <w:numId w:val="2"/>
              </w:numPr>
            </w:pPr>
            <w:r>
              <w:rPr>
                <w:rStyle w:val="row-content-rich-text"/>
              </w:rPr>
              <w:t xml:space="preserve">Patient transport</w:t>
            </w:r>
          </w:p>
          <w:p>
            <w:pPr>
              <w:pStyle w:val="ListParagraph"/>
              <w:numPr>
                <w:ilvl w:val="0"/>
                <w:numId w:val="2"/>
              </w:numPr>
            </w:pPr>
            <w:r>
              <w:rPr>
                <w:rStyle w:val="row-content-rich-text"/>
              </w:rPr>
              <w:t xml:space="preserve">Payments to visiting medical officers</w:t>
            </w:r>
          </w:p>
          <w:p>
            <w:pPr>
              <w:pStyle w:val="ListParagraph"/>
              <w:numPr>
                <w:ilvl w:val="0"/>
                <w:numId w:val="2"/>
              </w:numPr>
            </w:pPr>
            <w:r>
              <w:rPr>
                <w:rStyle w:val="row-content-rich-text"/>
              </w:rPr>
              <w:t xml:space="preserve">Repairs and maintenance</w:t>
            </w:r>
          </w:p>
          <w:p>
            <w:pPr>
              <w:pStyle w:val="ListParagraph"/>
              <w:numPr>
                <w:ilvl w:val="0"/>
                <w:numId w:val="2"/>
              </w:numPr>
            </w:pPr>
            <w:r>
              <w:rPr>
                <w:rStyle w:val="row-content-rich-text"/>
              </w:rPr>
              <w:t xml:space="preserve">Social benefits</w:t>
            </w:r>
          </w:p>
          <w:p>
            <w:pPr>
              <w:pStyle w:val="ListParagraph"/>
              <w:numPr>
                <w:ilvl w:val="0"/>
                <w:numId w:val="2"/>
              </w:numPr>
            </w:pPr>
            <w:r>
              <w:rPr>
                <w:rStyle w:val="row-content-rich-text"/>
              </w:rPr>
              <w:t xml:space="preserve">Subsidy expenses</w:t>
            </w:r>
          </w:p>
          <w:p>
            <w:pPr>
              <w:pStyle w:val="ListParagraph"/>
              <w:numPr>
                <w:ilvl w:val="0"/>
                <w:numId w:val="2"/>
              </w:numPr>
            </w:pPr>
            <w:r>
              <w:rPr>
                <w:rStyle w:val="row-content-rich-text"/>
              </w:rPr>
              <w:t xml:space="preserve">Other expenses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Expenses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reference: </w:t>
            </w:r>
            <w:hyperlink w:history="true" r:id="R78e22cad82f44c75">
              <w:r>
                <w:rPr>
                  <w:rStyle w:val="Hyperlink"/>
                </w:rPr>
                <w:t xml:space="preserve">http://www.aasb.com.au/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27c1f004d6ae42b3">
              <w:r>
                <w:rPr>
                  <w:rStyle w:val="Hyperlink"/>
                </w:rPr>
                <w:t xml:space="preserve">Organisation—capital consumption expenses, total Australian currency NNNNN.N</w:t>
              </w:r>
            </w:hyperlink>
          </w:p>
          <w:p>
            <w:pPr>
              <w:pStyle w:val="registration-status"/>
              <w:spacing w:before="0" w:after="0"/>
            </w:pPr>
            <w:hyperlink w:history="true" r:id="R09740a8c0a814633">
              <w:r>
                <w:rPr>
                  <w:rStyle w:val="Hyperlink"/>
                  <w:color w:val="244061"/>
                </w:rPr>
                <w:t xml:space="preserve">Health!</w:t>
              </w:r>
            </w:hyperlink>
            <w:r>
              <w:rPr>
                <w:rStyle w:val="row-content"/>
                <w:color w:val="244061"/>
              </w:rPr>
              <w:t xml:space="preserve">, Standard 01/04/2009</w:t>
            </w:r>
          </w:p>
          <w:p>
            <w:r>
              <w:br/>
            </w:r>
            <w:r>
              <w:rPr>
                <w:rStyle w:val="row-content"/>
              </w:rPr>
              <w:t xml:space="preserve">Is formed using </w:t>
            </w:r>
            <w:hyperlink w:history="true" r:id="R7fac3403423f4024">
              <w:r>
                <w:rPr>
                  <w:rStyle w:val="Hyperlink"/>
                </w:rPr>
                <w:t xml:space="preserve">Organisation—employee related expenses, total Australian currency NNNNN.N</w:t>
              </w:r>
            </w:hyperlink>
          </w:p>
          <w:p>
            <w:pPr>
              <w:pStyle w:val="registration-status"/>
              <w:spacing w:before="0" w:after="0"/>
            </w:pPr>
            <w:hyperlink w:history="true" r:id="R110aeed9921641ef">
              <w:r>
                <w:rPr>
                  <w:rStyle w:val="Hyperlink"/>
                  <w:color w:val="244061"/>
                </w:rPr>
                <w:t xml:space="preserve">Health!</w:t>
              </w:r>
            </w:hyperlink>
            <w:r>
              <w:rPr>
                <w:rStyle w:val="row-content"/>
                <w:color w:val="244061"/>
              </w:rPr>
              <w:t xml:space="preserve">, Standard 05/12/2007</w:t>
            </w:r>
          </w:p>
          <w:p>
            <w:r>
              <w:br/>
            </w:r>
            <w:r>
              <w:rPr>
                <w:rStyle w:val="row-content"/>
              </w:rPr>
              <w:t xml:space="preserve">Is formed using </w:t>
            </w:r>
            <w:hyperlink w:history="true" r:id="R79f956d3b8d64d72">
              <w:r>
                <w:rPr>
                  <w:rStyle w:val="Hyperlink"/>
                </w:rPr>
                <w:t xml:space="preserve">Organisation—purchase of goods and services, total Australian currency NNNNN.N</w:t>
              </w:r>
            </w:hyperlink>
          </w:p>
          <w:p>
            <w:pPr>
              <w:pStyle w:val="registration-status"/>
              <w:spacing w:before="0" w:after="0"/>
            </w:pPr>
            <w:hyperlink w:history="true" r:id="Rcf67e84c0ec24c6d">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80abc2031b48c2">
              <w:r>
                <w:rPr>
                  <w:rStyle w:val="Hyperlink"/>
                </w:rPr>
                <w:t xml:space="preserve">Government health expenditure organisation expenditure data cluster</w:t>
              </w:r>
            </w:hyperlink>
          </w:p>
          <w:p>
            <w:pPr>
              <w:pStyle w:val="registration-status"/>
              <w:spacing w:before="0" w:after="0"/>
            </w:pPr>
            <w:hyperlink w:history="true" r:id="R19bd7f1208c349f9">
              <w:r>
                <w:rPr>
                  <w:rStyle w:val="Hyperlink"/>
                  <w:color w:val="244061"/>
                </w:rPr>
                <w:t xml:space="preserve">Health!</w:t>
              </w:r>
            </w:hyperlink>
            <w:r>
              <w:rPr>
                <w:rStyle w:val="row-content"/>
                <w:color w:val="244061"/>
              </w:rPr>
              <w:t xml:space="preserve">, Superseded 01/04/2009</w:t>
            </w:r>
          </w:p>
          <w:p>
            <w:r>
              <w:br/>
            </w:r>
            <w:hyperlink w:history="true" r:id="R34fa1e4522db48f9">
              <w:r>
                <w:rPr>
                  <w:rStyle w:val="Hyperlink"/>
                </w:rPr>
                <w:t xml:space="preserve">Government health expenditure organisation expenditure data element cluster</w:t>
              </w:r>
            </w:hyperlink>
          </w:p>
          <w:p>
            <w:pPr>
              <w:pStyle w:val="registration-status"/>
              <w:spacing w:before="0" w:after="0"/>
            </w:pPr>
            <w:hyperlink w:history="true" r:id="R96c379c9e48041c3">
              <w:r>
                <w:rPr>
                  <w:rStyle w:val="Hyperlink"/>
                  <w:color w:val="244061"/>
                </w:rPr>
                <w:t xml:space="preserve">Health!</w:t>
              </w:r>
            </w:hyperlink>
            <w:r>
              <w:rPr>
                <w:rStyle w:val="row-content"/>
                <w:color w:val="244061"/>
              </w:rPr>
              <w:t xml:space="preserve">, Superseded 04/12/2013</w:t>
            </w:r>
          </w:p>
          <w:p>
            <w:r>
              <w:br/>
            </w:r>
            <w:hyperlink w:history="true" r:id="Rf2d46426d58f4da2">
              <w:r>
                <w:rPr>
                  <w:rStyle w:val="Hyperlink"/>
                </w:rPr>
                <w:t xml:space="preserve">Government health expenditure organisation expenditure data element cluster</w:t>
              </w:r>
            </w:hyperlink>
          </w:p>
          <w:p>
            <w:pPr>
              <w:pStyle w:val="registration-status"/>
              <w:spacing w:before="0" w:after="0"/>
            </w:pPr>
            <w:hyperlink w:history="true" r:id="R55b8624568d245e8">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
    <w:p>
      <w:r>
        <w:br/>
      </w:r>
    </w:p>
    <w:sectPr>
      <w:footerReference xmlns:r="http://schemas.openxmlformats.org/officeDocument/2006/relationships" w:type="default" r:id="R775fb75e980e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9bdffe142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fb75e980e4062" /><Relationship Type="http://schemas.openxmlformats.org/officeDocument/2006/relationships/header" Target="/word/header1.xml" Id="Rf42acdcce7104bb6" /><Relationship Type="http://schemas.openxmlformats.org/officeDocument/2006/relationships/settings" Target="/word/settings.xml" Id="R346216bf30e246b3" /><Relationship Type="http://schemas.openxmlformats.org/officeDocument/2006/relationships/styles" Target="/word/styles.xml" Id="R4c552e3271224bf7" /><Relationship Type="http://schemas.openxmlformats.org/officeDocument/2006/relationships/numbering" Target="/word/numbering.xml" Id="R796931f5e81d4eeb" /><Relationship Type="http://schemas.openxmlformats.org/officeDocument/2006/relationships/hyperlink" Target="https://meteor-uat.aihw.gov.au/RegistrationAuthority/14" TargetMode="External" Id="Ra05ba4bd773d4c1f" /><Relationship Type="http://schemas.openxmlformats.org/officeDocument/2006/relationships/hyperlink" Target="https://meteor-uat.aihw.gov.au/content/352468" TargetMode="External" Id="Rebfd2fed0b4d4822" /><Relationship Type="http://schemas.openxmlformats.org/officeDocument/2006/relationships/hyperlink" Target="https://meteor-uat.aihw.gov.au/content/357602" TargetMode="External" Id="Ra57f1b6d35fc4517" /><Relationship Type="http://schemas.openxmlformats.org/officeDocument/2006/relationships/hyperlink" Target="http://www.aasb.com.au/" TargetMode="External" Id="R78e22cad82f44c75" /><Relationship Type="http://schemas.openxmlformats.org/officeDocument/2006/relationships/hyperlink" Target="https://meteor-uat.aihw.gov.au/content/376399" TargetMode="External" Id="R27c1f004d6ae42b3" /><Relationship Type="http://schemas.openxmlformats.org/officeDocument/2006/relationships/hyperlink" Target="https://meteor-uat.aihw.gov.au/RegistrationAuthority/14" TargetMode="External" Id="R09740a8c0a814633" /><Relationship Type="http://schemas.openxmlformats.org/officeDocument/2006/relationships/hyperlink" Target="https://meteor-uat.aihw.gov.au/content/359947" TargetMode="External" Id="R7fac3403423f4024" /><Relationship Type="http://schemas.openxmlformats.org/officeDocument/2006/relationships/hyperlink" Target="https://meteor-uat.aihw.gov.au/RegistrationAuthority/14" TargetMode="External" Id="R110aeed9921641ef" /><Relationship Type="http://schemas.openxmlformats.org/officeDocument/2006/relationships/hyperlink" Target="https://meteor-uat.aihw.gov.au/content/359935" TargetMode="External" Id="R79f956d3b8d64d72" /><Relationship Type="http://schemas.openxmlformats.org/officeDocument/2006/relationships/hyperlink" Target="https://meteor-uat.aihw.gov.au/RegistrationAuthority/14" TargetMode="External" Id="Rcf67e84c0ec24c6d" /><Relationship Type="http://schemas.openxmlformats.org/officeDocument/2006/relationships/hyperlink" Target="https://meteor-uat.aihw.gov.au/content/352473" TargetMode="External" Id="R1f80abc2031b48c2" /><Relationship Type="http://schemas.openxmlformats.org/officeDocument/2006/relationships/hyperlink" Target="https://meteor-uat.aihw.gov.au/RegistrationAuthority/14" TargetMode="External" Id="R19bd7f1208c349f9" /><Relationship Type="http://schemas.openxmlformats.org/officeDocument/2006/relationships/hyperlink" Target="https://meteor-uat.aihw.gov.au/content/376888" TargetMode="External" Id="R34fa1e4522db48f9" /><Relationship Type="http://schemas.openxmlformats.org/officeDocument/2006/relationships/hyperlink" Target="https://meteor-uat.aihw.gov.au/RegistrationAuthority/14" TargetMode="External" Id="R96c379c9e48041c3" /><Relationship Type="http://schemas.openxmlformats.org/officeDocument/2006/relationships/hyperlink" Target="https://meteor-uat.aihw.gov.au/content/541951" TargetMode="External" Id="Rf2d46426d58f4da2" /><Relationship Type="http://schemas.openxmlformats.org/officeDocument/2006/relationships/hyperlink" Target="https://meteor-uat.aihw.gov.au/RegistrationAuthority/14" TargetMode="External" Id="R55b8624568d245e8" /></Relationships>
</file>

<file path=word/_rels/header1.xml.rels>&#65279;<?xml version="1.0" encoding="utf-8"?><Relationships xmlns="http://schemas.openxmlformats.org/package/2006/relationships"><Relationship Type="http://schemas.openxmlformats.org/officeDocument/2006/relationships/image" Target="/media/image.png" Id="Rae49bdffe1424b75" /></Relationships>
</file>