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e77506a24254fcd" /></Relationships>
</file>

<file path=word/document.xml><?xml version="1.0" encoding="utf-8"?>
<w:document xmlns:r="http://schemas.openxmlformats.org/officeDocument/2006/relationships" xmlns:w="http://schemas.openxmlformats.org/wordprocessingml/2006/main">
  <w:body>
    <w:p>
      <w:pPr>
        <w:pStyle w:val="Title"/>
      </w:pPr>
      <w:r>
        <w:t>Person—acute coronary syndrome related medical history,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Person—acute coronary syndrome related medical history,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Acute coronary syndrome related medical history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356598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e8fa2113030451c">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history of acute coronary syndrome related medical conditions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6bf5b458ba243ae">
              <w:r>
                <w:rPr>
                  <w:rStyle w:val="Hyperlink"/>
                </w:rPr>
                <w:t xml:space="preserve">Person—acute coronary syndrome related medical history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3c50b10ce3f4784">
              <w:r>
                <w:rPr>
                  <w:rStyle w:val="Hyperlink"/>
                </w:rPr>
                <w:t xml:space="preserve">Acute coronary syndrome related medical history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Angina (excluding unstable angina): prior existing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Angina (excluding unstable angina): new onset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Unstable angina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Chronic lung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w:t>
            </w:r>
          </w:p>
        </w:tc>
        <w:tc>
          <w:tcPr>
            <w:tcBorders>
              <w:top w:val="none" w:color="000000" w:sz="0"/>
              <w:left w:val="none" w:color="000000" w:sz="0"/>
              <w:bottom w:val="none" w:color="000000" w:sz="0"/>
              <w:right w:val="none" w:color="000000" w:sz="0"/>
            </w:tcBorders>
            <w:vAlign w:val="top"/>
          </w:tcPr>
          <w:p>
            <w:r>
              <w:t xml:space="preserve">Heart failure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41</w:t>
            </w:r>
          </w:p>
        </w:tc>
        <w:tc>
          <w:tcPr>
            <w:tcBorders>
              <w:top w:val="none" w:color="000000" w:sz="0"/>
              <w:left w:val="none" w:color="000000" w:sz="0"/>
              <w:bottom w:val="none" w:color="000000" w:sz="0"/>
              <w:right w:val="none" w:color="000000" w:sz="0"/>
            </w:tcBorders>
            <w:vAlign w:val="top"/>
          </w:tcPr>
          <w:p>
            <w:r>
              <w:t xml:space="preserve">Hypertension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51</w:t>
            </w:r>
          </w:p>
        </w:tc>
        <w:tc>
          <w:tcPr>
            <w:tcBorders>
              <w:top w:val="none" w:color="000000" w:sz="0"/>
              <w:left w:val="none" w:color="000000" w:sz="0"/>
              <w:bottom w:val="none" w:color="000000" w:sz="0"/>
              <w:right w:val="none" w:color="000000" w:sz="0"/>
            </w:tcBorders>
            <w:vAlign w:val="top"/>
          </w:tcPr>
          <w:p>
            <w:r>
              <w:t xml:space="preserve">Ischaemic: non-haemorrhagic cerebral infarction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52</w:t>
            </w:r>
          </w:p>
        </w:tc>
        <w:tc>
          <w:tcPr>
            <w:tcBorders>
              <w:top w:val="none" w:color="000000" w:sz="0"/>
              <w:left w:val="none" w:color="000000" w:sz="0"/>
              <w:bottom w:val="none" w:color="000000" w:sz="0"/>
              <w:right w:val="none" w:color="000000" w:sz="0"/>
            </w:tcBorders>
            <w:vAlign w:val="top"/>
          </w:tcPr>
          <w:p>
            <w:r>
              <w:t xml:space="preserve">Haemorrhagic: intracerebral haemorrhage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61</w:t>
            </w:r>
          </w:p>
        </w:tc>
        <w:tc>
          <w:tcPr>
            <w:tcBorders>
              <w:top w:val="none" w:color="000000" w:sz="0"/>
              <w:left w:val="none" w:color="000000" w:sz="0"/>
              <w:bottom w:val="none" w:color="000000" w:sz="0"/>
              <w:right w:val="none" w:color="000000" w:sz="0"/>
            </w:tcBorders>
            <w:vAlign w:val="top"/>
          </w:tcPr>
          <w:p>
            <w:r>
              <w:t xml:space="preserve">Peripheral artery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62</w:t>
            </w:r>
          </w:p>
        </w:tc>
        <w:tc>
          <w:tcPr>
            <w:tcBorders>
              <w:top w:val="none" w:color="000000" w:sz="0"/>
              <w:left w:val="none" w:color="000000" w:sz="0"/>
              <w:bottom w:val="none" w:color="000000" w:sz="0"/>
              <w:right w:val="none" w:color="000000" w:sz="0"/>
            </w:tcBorders>
            <w:vAlign w:val="top"/>
          </w:tcPr>
          <w:p>
            <w:r>
              <w:t xml:space="preserve">Aortic aneurysm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63</w:t>
            </w:r>
          </w:p>
        </w:tc>
        <w:tc>
          <w:tcPr>
            <w:tcBorders>
              <w:top w:val="none" w:color="000000" w:sz="0"/>
              <w:left w:val="none" w:color="000000" w:sz="0"/>
              <w:bottom w:val="none" w:color="000000" w:sz="0"/>
              <w:right w:val="none" w:color="000000" w:sz="0"/>
            </w:tcBorders>
            <w:vAlign w:val="top"/>
          </w:tcPr>
          <w:p>
            <w:r>
              <w:t xml:space="preserve">Renal artery stenosis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71</w:t>
            </w:r>
          </w:p>
        </w:tc>
        <w:tc>
          <w:tcPr>
            <w:tcBorders>
              <w:top w:val="none" w:color="000000" w:sz="0"/>
              <w:left w:val="none" w:color="000000" w:sz="0"/>
              <w:bottom w:val="none" w:color="000000" w:sz="0"/>
              <w:right w:val="none" w:color="000000" w:sz="0"/>
            </w:tcBorders>
            <w:vAlign w:val="top"/>
          </w:tcPr>
          <w:p>
            <w:r>
              <w:t xml:space="preserve">Sleep apnoea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81</w:t>
            </w:r>
          </w:p>
        </w:tc>
        <w:tc>
          <w:tcPr>
            <w:tcBorders>
              <w:top w:val="none" w:color="000000" w:sz="0"/>
              <w:left w:val="none" w:color="000000" w:sz="0"/>
              <w:bottom w:val="none" w:color="000000" w:sz="0"/>
              <w:right w:val="none" w:color="000000" w:sz="0"/>
            </w:tcBorders>
            <w:vAlign w:val="top"/>
          </w:tcPr>
          <w:p>
            <w:r>
              <w:t xml:space="preserve">Previous myocardial infarction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91</w:t>
            </w:r>
          </w:p>
        </w:tc>
        <w:tc>
          <w:tcPr>
            <w:tcBorders>
              <w:top w:val="none" w:color="000000" w:sz="0"/>
              <w:left w:val="none" w:color="000000" w:sz="0"/>
              <w:bottom w:val="none" w:color="000000" w:sz="0"/>
              <w:right w:val="none" w:color="000000" w:sz="0"/>
            </w:tcBorders>
            <w:vAlign w:val="top"/>
          </w:tcPr>
          <w:p>
            <w:r>
              <w:t xml:space="preserve">Atrial fibrillation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92</w:t>
            </w:r>
          </w:p>
        </w:tc>
        <w:tc>
          <w:tcPr>
            <w:tcBorders>
              <w:top w:val="none" w:color="000000" w:sz="0"/>
              <w:left w:val="none" w:color="000000" w:sz="0"/>
              <w:bottom w:val="none" w:color="000000" w:sz="0"/>
              <w:right w:val="none" w:color="000000" w:sz="0"/>
            </w:tcBorders>
            <w:vAlign w:val="top"/>
          </w:tcPr>
          <w:p>
            <w:r>
              <w:t xml:space="preserve">Other dysrhythmia or conductive disorder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93</w:t>
            </w:r>
          </w:p>
        </w:tc>
        <w:tc>
          <w:tcPr>
            <w:tcBorders>
              <w:top w:val="none" w:color="000000" w:sz="0"/>
              <w:left w:val="none" w:color="000000" w:sz="0"/>
              <w:bottom w:val="none" w:color="000000" w:sz="0"/>
              <w:right w:val="none" w:color="000000" w:sz="0"/>
            </w:tcBorders>
            <w:vAlign w:val="top"/>
          </w:tcPr>
          <w:p>
            <w:r>
              <w:t xml:space="preserve">Left ventricular hypertrophy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Angina:</w:t>
            </w:r>
          </w:p>
          <w:p>
            <w:pPr>
              <w:spacing w:after="160"/>
            </w:pPr>
            <w:r>
              <w:rPr>
                <w:rStyle w:val="row-content-rich-text"/>
              </w:rPr>
              <w:t xml:space="preserve">CODE 11     Angina (excluding unstable angina): prior existing</w:t>
            </w:r>
          </w:p>
          <w:p>
            <w:pPr>
              <w:spacing w:after="160"/>
            </w:pPr>
            <w:r>
              <w:rPr>
                <w:rStyle w:val="row-content-rich-text"/>
              </w:rPr>
              <w:t xml:space="preserve">This code is used where there are symptoms, which can be described as chest pain or pain in either or both shoulders, the back, neck or jaw, or other equivalent discomfort (such as tightness, gripping or squeezing) suggestive of cardiac ischaemia, the onset of which occured more than two weeks ago.</w:t>
            </w:r>
          </w:p>
          <w:p>
            <w:pPr>
              <w:spacing w:after="160"/>
            </w:pPr>
            <w:r>
              <w:rPr>
                <w:rStyle w:val="row-content-rich-text"/>
              </w:rPr>
              <w:t xml:space="preserve">CODE 12     Angina (excluding unstable angina): new onset</w:t>
            </w:r>
          </w:p>
          <w:p>
            <w:pPr>
              <w:spacing w:after="160"/>
            </w:pPr>
            <w:r>
              <w:rPr>
                <w:rStyle w:val="row-content-rich-text"/>
              </w:rPr>
              <w:t xml:space="preserve">This code is used where there are symptoms which can be described as chest pain or pain in either or both shoulders, the back, neck or jaw, or other equivalent discomfort (such as tightness, gripping or squeezing) suggestive of cardiac ischaemia; the onset of which occured two or less weeks ago.</w:t>
            </w:r>
          </w:p>
          <w:p>
            <w:pPr>
              <w:spacing w:after="160"/>
            </w:pPr>
            <w:r>
              <w:rPr>
                <w:rStyle w:val="row-content-rich-text"/>
              </w:rPr>
              <w:t xml:space="preserve">CODE 13     Unstable angina</w:t>
            </w:r>
          </w:p>
          <w:p>
            <w:pPr>
              <w:spacing w:after="160"/>
            </w:pPr>
            <w:r>
              <w:rPr>
                <w:rStyle w:val="row-content-rich-text"/>
              </w:rPr>
              <w:t xml:space="preserve">This code is used where a person has experienced new onset or prior existing angina (described as chest pain or pain in either or both shoulders, the back, neck or jaw, or other equivalent discomfort (such as tightness, gripping or squeezing)), which is increasing in severity, duration or frequency.</w:t>
            </w:r>
          </w:p>
          <w:p>
            <w:pPr>
              <w:spacing w:after="160"/>
            </w:pPr>
            <w:r>
              <w:rPr>
                <w:rStyle w:val="row-content-rich-text"/>
              </w:rPr>
              <w:t xml:space="preserve">Chronic lung disease:</w:t>
            </w:r>
          </w:p>
          <w:p>
            <w:pPr>
              <w:spacing w:after="160"/>
            </w:pPr>
            <w:r>
              <w:rPr>
                <w:rStyle w:val="row-content-rich-text"/>
              </w:rPr>
              <w:t xml:space="preserve">CODE 21     Chronic lung disease</w:t>
            </w:r>
          </w:p>
          <w:p>
            <w:pPr>
              <w:spacing w:after="160"/>
            </w:pPr>
            <w:r>
              <w:rPr>
                <w:rStyle w:val="row-content-rich-text"/>
              </w:rPr>
              <w:t xml:space="preserve">This code is used where there is a history or symptoms suggestive of chronic lung disease.</w:t>
            </w:r>
          </w:p>
          <w:p>
            <w:pPr>
              <w:spacing w:after="160"/>
            </w:pPr>
            <w:r>
              <w:rPr>
                <w:rStyle w:val="row-content-rich-text"/>
              </w:rPr>
              <w:t xml:space="preserve">Heart failure:</w:t>
            </w:r>
          </w:p>
          <w:p>
            <w:pPr>
              <w:spacing w:after="160"/>
            </w:pPr>
            <w:r>
              <w:rPr>
                <w:rStyle w:val="row-content-rich-text"/>
              </w:rPr>
              <w:t xml:space="preserve">CODE 31     Heart failure</w:t>
            </w:r>
          </w:p>
          <w:p>
            <w:pPr>
              <w:spacing w:after="160"/>
            </w:pPr>
            <w:r>
              <w:rPr>
                <w:rStyle w:val="row-content-rich-text"/>
              </w:rPr>
              <w:t xml:space="preserve">This code is used where a person has past or current symptoms of heart failure (typically breathlessness or fatigue), either at rest or during physical activity and/or signs of pulmonary or peripheral congestion suggestive of cardiac dysfunction.</w:t>
            </w:r>
          </w:p>
          <w:p>
            <w:pPr>
              <w:spacing w:after="160"/>
            </w:pPr>
            <w:r>
              <w:rPr>
                <w:rStyle w:val="row-content-rich-text"/>
              </w:rPr>
              <w:t xml:space="preserve">Hypertension:</w:t>
            </w:r>
          </w:p>
          <w:p>
            <w:pPr>
              <w:spacing w:after="160"/>
            </w:pPr>
            <w:r>
              <w:rPr>
                <w:rStyle w:val="row-content-rich-text"/>
              </w:rPr>
              <w:t xml:space="preserve">CODE 41     Hypertension</w:t>
            </w:r>
          </w:p>
          <w:p>
            <w:pPr>
              <w:spacing w:after="160"/>
            </w:pPr>
            <w:r>
              <w:rPr>
                <w:rStyle w:val="row-content-rich-text"/>
              </w:rPr>
              <w:t xml:space="preserve">This code is used where there is current use of pharmacotherapy for hypertension and/or clinical evidence of high blood pressure.</w:t>
            </w:r>
          </w:p>
          <w:p>
            <w:pPr>
              <w:spacing w:after="160"/>
            </w:pPr>
            <w:r>
              <w:rPr>
                <w:rStyle w:val="row-content-rich-text"/>
              </w:rPr>
              <w:t xml:space="preserve">CODE 51     Ischaemic: non-haemorrhagic cerebral infarction</w:t>
            </w:r>
          </w:p>
          <w:p>
            <w:pPr>
              <w:spacing w:after="160"/>
            </w:pPr>
            <w:r>
              <w:rPr>
                <w:rStyle w:val="row-content-rich-text"/>
              </w:rPr>
              <w:t xml:space="preserve">This code is used if there is history of stroke or cerebrovascular accident (CVA) resulting from an ischaemic event where the patient suffered a loss of neurological function with residual symptoms remaining for at least 24 hours.</w:t>
            </w:r>
          </w:p>
          <w:p>
            <w:pPr>
              <w:spacing w:after="160"/>
            </w:pPr>
            <w:r>
              <w:rPr>
                <w:rStyle w:val="row-content-rich-text"/>
              </w:rPr>
              <w:t xml:space="preserve">CODE 52     Haemorrhagic: intracerebral haemorrhage</w:t>
            </w:r>
          </w:p>
          <w:p>
            <w:pPr>
              <w:spacing w:after="160"/>
            </w:pPr>
            <w:r>
              <w:rPr>
                <w:rStyle w:val="row-content-rich-text"/>
              </w:rPr>
              <w:t xml:space="preserve">This code is used if there is history of stroke or cerebrovascular accident (CVA) resulting from a haemorrhagic event where the patient suffered a loss of neurological function with residual symptoms remaining for at least 24 hours.</w:t>
            </w:r>
          </w:p>
          <w:p>
            <w:pPr>
              <w:spacing w:after="160"/>
            </w:pPr>
            <w:r>
              <w:rPr>
                <w:rStyle w:val="row-content-rich-text"/>
              </w:rPr>
              <w:t xml:space="preserve">Peripheral arterial disease:</w:t>
            </w:r>
          </w:p>
          <w:p>
            <w:pPr>
              <w:spacing w:after="160"/>
            </w:pPr>
            <w:r>
              <w:rPr>
                <w:rStyle w:val="row-content-rich-text"/>
              </w:rPr>
              <w:t xml:space="preserve">CODE 61     Peripheral artery disease</w:t>
            </w:r>
          </w:p>
          <w:p>
            <w:pPr>
              <w:spacing w:after="160"/>
            </w:pPr>
            <w:r>
              <w:rPr>
                <w:rStyle w:val="row-content-rich-text"/>
              </w:rPr>
              <w:t xml:space="preserve">This code is used where there is history of either chronic or acute occlusion or narrowing of the arterial lumen in the aorta or extremities.</w:t>
            </w:r>
          </w:p>
          <w:p>
            <w:pPr>
              <w:spacing w:after="160"/>
            </w:pPr>
            <w:r>
              <w:rPr>
                <w:rStyle w:val="row-content-rich-text"/>
              </w:rPr>
              <w:t xml:space="preserve">CODE 62     Aortic aneurysm</w:t>
            </w:r>
          </w:p>
          <w:p>
            <w:pPr>
              <w:spacing w:after="160"/>
            </w:pPr>
            <w:r>
              <w:rPr>
                <w:rStyle w:val="row-content-rich-text"/>
              </w:rPr>
              <w:t xml:space="preserve">This code is used where there is a history of aneurysmal dilatation of the aorta (thoracic and or abdominal).</w:t>
            </w:r>
          </w:p>
          <w:p>
            <w:pPr>
              <w:spacing w:after="160"/>
            </w:pPr>
            <w:r>
              <w:rPr>
                <w:rStyle w:val="row-content-rich-text"/>
              </w:rPr>
              <w:t xml:space="preserve">CODE 63     Renal artery stenosis</w:t>
            </w:r>
          </w:p>
          <w:p>
            <w:pPr>
              <w:spacing w:after="160"/>
            </w:pPr>
            <w:r>
              <w:rPr>
                <w:rStyle w:val="row-content-rich-text"/>
              </w:rPr>
              <w:t xml:space="preserve">This code is used where there is a history of functional stenosis of one or both renal arteries.</w:t>
            </w:r>
          </w:p>
          <w:p>
            <w:pPr>
              <w:spacing w:after="160"/>
            </w:pPr>
            <w:r>
              <w:rPr>
                <w:rStyle w:val="row-content-rich-text"/>
              </w:rPr>
              <w:t xml:space="preserve">Sleep apnoea syndrome:</w:t>
            </w:r>
          </w:p>
          <w:p>
            <w:pPr>
              <w:spacing w:after="160"/>
            </w:pPr>
            <w:r>
              <w:rPr>
                <w:rStyle w:val="row-content-rich-text"/>
              </w:rPr>
              <w:t xml:space="preserve">CODE 71     Sleep apnoea</w:t>
            </w:r>
          </w:p>
          <w:p>
            <w:pPr>
              <w:spacing w:after="160"/>
            </w:pPr>
            <w:r>
              <w:rPr>
                <w:rStyle w:val="row-content-rich-text"/>
              </w:rPr>
              <w:t xml:space="preserve">This code is used where there is evidence of sleep apnoea syndrome (SAS) on history.</w:t>
            </w:r>
          </w:p>
          <w:p>
            <w:pPr>
              <w:spacing w:after="160"/>
            </w:pPr>
            <w:r>
              <w:rPr>
                <w:rStyle w:val="row-content-rich-text"/>
              </w:rPr>
              <w:t xml:space="preserve">Myocardial infarction:</w:t>
            </w:r>
          </w:p>
          <w:p>
            <w:pPr>
              <w:spacing w:after="160"/>
            </w:pPr>
            <w:r>
              <w:rPr>
                <w:rStyle w:val="row-content-rich-text"/>
              </w:rPr>
              <w:t xml:space="preserve">CODE 81     Previous myocardial infarction</w:t>
            </w:r>
          </w:p>
          <w:p>
            <w:pPr>
              <w:spacing w:after="160"/>
            </w:pPr>
            <w:r>
              <w:rPr>
                <w:rStyle w:val="row-content-rich-text"/>
              </w:rPr>
              <w:t xml:space="preserve">This code is used where a person has previously experienced a myocardial infarction, excluding the current event that prompted this presentation to hospital. This may be supported by clinical documentation and evidenced by ECG changes or serum cardiac biomarker changes.</w:t>
            </w:r>
          </w:p>
          <w:p>
            <w:pPr>
              <w:spacing w:after="160"/>
            </w:pPr>
            <w:r>
              <w:rPr>
                <w:rStyle w:val="row-content-rich-text"/>
              </w:rPr>
              <w:t xml:space="preserve">Other vascular conditions:</w:t>
            </w:r>
          </w:p>
          <w:p>
            <w:pPr>
              <w:spacing w:after="160"/>
            </w:pPr>
            <w:r>
              <w:rPr>
                <w:rStyle w:val="row-content-rich-text"/>
              </w:rPr>
              <w:t xml:space="preserve">CODE 91     Atrial fibrillation</w:t>
            </w:r>
          </w:p>
          <w:p>
            <w:pPr>
              <w:spacing w:after="160"/>
            </w:pPr>
            <w:r>
              <w:rPr>
                <w:rStyle w:val="row-content-rich-text"/>
              </w:rPr>
              <w:t xml:space="preserve">This code is used where there is a history or symptoms suggestive of atrial fibrillation.</w:t>
            </w:r>
          </w:p>
          <w:p>
            <w:pPr>
              <w:spacing w:after="160"/>
            </w:pPr>
            <w:r>
              <w:rPr>
                <w:rStyle w:val="row-content-rich-text"/>
              </w:rPr>
              <w:t xml:space="preserve">CODE 92     Other cardiac arrhythmias or conductive disorders</w:t>
            </w:r>
          </w:p>
          <w:p>
            <w:pPr>
              <w:spacing w:after="160"/>
            </w:pPr>
            <w:r>
              <w:rPr>
                <w:rStyle w:val="row-content-rich-text"/>
              </w:rPr>
              <w:t xml:space="preserve">This code is used where there is a history of other cardiac arrhythmias or conductive disorders.</w:t>
            </w:r>
          </w:p>
          <w:p>
            <w:pPr>
              <w:spacing w:after="160"/>
            </w:pPr>
            <w:r>
              <w:rPr>
                <w:rStyle w:val="row-content-rich-text"/>
              </w:rPr>
              <w:t xml:space="preserve">CODE 93     Left ventricular hypertrophy</w:t>
            </w:r>
          </w:p>
          <w:p>
            <w:pPr/>
            <w:r>
              <w:rPr>
                <w:rStyle w:val="row-content-rich-text"/>
              </w:rPr>
              <w:t xml:space="preserve">This code is used where there is a history or symptoms suggestive of left ventricular hypertrophy.</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More than one medical condition may be recorded.</w:t>
            </w:r>
          </w:p>
          <w:p>
            <w:pPr>
              <w:spacing w:after="160"/>
            </w:pPr>
            <w:r>
              <w:rPr>
                <w:rStyle w:val="row-content-rich-text"/>
              </w:rPr>
              <w:t xml:space="preserve">Record only those codes that apply.</w:t>
            </w:r>
          </w:p>
          <w:p>
            <w:pPr/>
            <w:r>
              <w:rPr>
                <w:rStyle w:val="row-content-rich-text"/>
              </w:rPr>
              <w:t xml:space="preserve">Record all codes that apply.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Where codes 21, 31, 51, 52, 61, 62, 63, 71, 91, 92 and 93 are recorded Person - clinical evidence status (acute coronary syndrome related medical conditions), yes/no code N must also be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A history of the listed medical conditions is pertinent to the risk stratification and treatment of acute coronary syndrome.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Acute coronary syndrome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Heart Foundation of Australia &amp; Cardiac Society of Australia and New Zealand. Guidelines for the management of acute coronary syndromes 2006. Med J Aust 2006; 184; S1-S32. © MJA 2006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5a3ebae56ce4317">
              <w:r>
                <w:rPr>
                  <w:rStyle w:val="Hyperlink"/>
                </w:rPr>
                <w:t xml:space="preserve">Person—acute coronary syndrome concurrent clinical condition, code NN</w:t>
              </w:r>
            </w:hyperlink>
          </w:p>
          <w:p>
            <w:pPr>
              <w:pStyle w:val="registration-status"/>
              <w:spacing w:before="0" w:after="0"/>
            </w:pPr>
            <w:hyperlink w:history="true" r:id="R99a1da6e081d4c96">
              <w:r>
                <w:rPr>
                  <w:rStyle w:val="Hyperlink"/>
                  <w:color w:val="244061"/>
                </w:rPr>
                <w:t xml:space="preserve">Health!</w:t>
              </w:r>
            </w:hyperlink>
            <w:r>
              <w:rPr>
                <w:rStyle w:val="row-content"/>
                <w:color w:val="244061"/>
              </w:rPr>
              <w:t xml:space="preserve">, Superseded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262506ed7fc4c85">
              <w:r>
                <w:rPr>
                  <w:rStyle w:val="Hyperlink"/>
                </w:rPr>
                <w:t xml:space="preserve">Acute coronary syndrome (clinical) DSS</w:t>
              </w:r>
            </w:hyperlink>
          </w:p>
          <w:p>
            <w:pPr>
              <w:pStyle w:val="registration-status"/>
              <w:spacing w:before="0" w:after="0"/>
            </w:pPr>
            <w:hyperlink w:history="true" r:id="Rb2c7a8a6c2d044f1">
              <w:r>
                <w:rPr>
                  <w:rStyle w:val="Hyperlink"/>
                  <w:color w:val="244061"/>
                </w:rPr>
                <w:t xml:space="preserve">Health!</w:t>
              </w:r>
            </w:hyperlink>
            <w:r>
              <w:rPr>
                <w:rStyle w:val="row-content"/>
                <w:color w:val="244061"/>
              </w:rPr>
              <w:t xml:space="preserve">, Superseded 01/09/2012</w:t>
            </w:r>
          </w:p>
          <w:p>
            <w:r>
              <w:br/>
            </w:r>
            <w:hyperlink w:history="true" r:id="R8967b602127147ca">
              <w:r>
                <w:rPr>
                  <w:rStyle w:val="Hyperlink"/>
                </w:rPr>
                <w:t xml:space="preserve">Acute coronary syndrome (clinical) DSS</w:t>
              </w:r>
            </w:hyperlink>
          </w:p>
          <w:p>
            <w:pPr>
              <w:pStyle w:val="registration-status"/>
              <w:spacing w:before="0" w:after="0"/>
            </w:pPr>
            <w:hyperlink w:history="true" r:id="R6eaf1785df1e4c26">
              <w:r>
                <w:rPr>
                  <w:rStyle w:val="Hyperlink"/>
                  <w:color w:val="244061"/>
                </w:rPr>
                <w:t xml:space="preserve">Health!</w:t>
              </w:r>
            </w:hyperlink>
            <w:r>
              <w:rPr>
                <w:rStyle w:val="row-content"/>
                <w:color w:val="244061"/>
              </w:rPr>
              <w:t xml:space="preserve">, Superseded 02/05/2013</w:t>
            </w:r>
          </w:p>
          <w:p>
            <w:r>
              <w:br/>
            </w:r>
            <w:hyperlink w:history="true" r:id="R37274ebd9751450b">
              <w:r>
                <w:rPr>
                  <w:rStyle w:val="Hyperlink"/>
                </w:rPr>
                <w:t xml:space="preserve">Acute coronary syndrome (clinical) NBPDS 2013-</w:t>
              </w:r>
            </w:hyperlink>
          </w:p>
          <w:p>
            <w:pPr>
              <w:pStyle w:val="registration-status"/>
              <w:spacing w:before="0" w:after="0"/>
            </w:pPr>
            <w:hyperlink w:history="true" r:id="R5cc4685c14b542f8">
              <w:r>
                <w:rPr>
                  <w:rStyle w:val="Hyperlink"/>
                  <w:color w:val="244061"/>
                </w:rPr>
                <w:t xml:space="preserve">Health!</w:t>
              </w:r>
            </w:hyperlink>
            <w:r>
              <w:rPr>
                <w:rStyle w:val="row-content"/>
                <w:color w:val="244061"/>
              </w:rPr>
              <w:t xml:space="preserve">, Standard 02/05/2013</w:t>
            </w:r>
          </w:p>
          <w:p>
            <w:r>
              <w:rPr>
                <w:rStyle w:val="row-content"/>
                <w:b/>
                <w:i/>
              </w:rPr>
              <w:t xml:space="preserve">Implementation start date: </w:t>
            </w:r>
            <w:r>
              <w:rPr>
                <w:rStyle w:val="row-content"/>
              </w:rPr>
              <w:t xml:space="preserve">01/07/2013</w:t>
            </w:r>
            <w:r>
              <w:br/>
            </w:r>
            <w:r>
              <w:br/>
            </w:r>
          </w:p>
        </w:tc>
      </w:tr>
    </w:tbl>
    <w:p/>
    <w:tbl>
      <w:tblPr>
        <w:tblStyle w:val="TableGrid"/>
        <w:tblW w:w="0" w:type="auto"/>
      </w:tblPr>
    </w:tbl>
    <w:p>
      <w:r>
        <w:br/>
      </w:r>
    </w:p>
    <w:sectPr>
      <w:footerReference xmlns:r="http://schemas.openxmlformats.org/officeDocument/2006/relationships" w:type="default" r:id="Rb1b0686006f34fb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356598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b9e1c1ea36e474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1b0686006f34fbb" /><Relationship Type="http://schemas.openxmlformats.org/officeDocument/2006/relationships/header" Target="/word/header1.xml" Id="Re908cf7491c74677" /><Relationship Type="http://schemas.openxmlformats.org/officeDocument/2006/relationships/settings" Target="/word/settings.xml" Id="Re66913cb33e041cf" /><Relationship Type="http://schemas.openxmlformats.org/officeDocument/2006/relationships/styles" Target="/word/styles.xml" Id="R73f05f15f32e4494" /><Relationship Type="http://schemas.openxmlformats.org/officeDocument/2006/relationships/hyperlink" Target="https://meteor-uat.aihw.gov.au/RegistrationAuthority/14" TargetMode="External" Id="Rbe8fa2113030451c" /><Relationship Type="http://schemas.openxmlformats.org/officeDocument/2006/relationships/hyperlink" Target="https://meteor-uat.aihw.gov.au/content/359154" TargetMode="External" Id="R06bf5b458ba243ae" /><Relationship Type="http://schemas.openxmlformats.org/officeDocument/2006/relationships/hyperlink" Target="https://meteor-uat.aihw.gov.au/content/356600" TargetMode="External" Id="R83c50b10ce3f4784" /><Relationship Type="http://schemas.openxmlformats.org/officeDocument/2006/relationships/hyperlink" Target="https://meteor-uat.aihw.gov.au/content/284891" TargetMode="External" Id="Rb5a3ebae56ce4317" /><Relationship Type="http://schemas.openxmlformats.org/officeDocument/2006/relationships/hyperlink" Target="https://meteor-uat.aihw.gov.au/RegistrationAuthority/14" TargetMode="External" Id="R99a1da6e081d4c96" /><Relationship Type="http://schemas.openxmlformats.org/officeDocument/2006/relationships/hyperlink" Target="https://meteor-uat.aihw.gov.au/content/372930" TargetMode="External" Id="R8262506ed7fc4c85" /><Relationship Type="http://schemas.openxmlformats.org/officeDocument/2006/relationships/hyperlink" Target="https://meteor-uat.aihw.gov.au/RegistrationAuthority/14" TargetMode="External" Id="Rb2c7a8a6c2d044f1" /><Relationship Type="http://schemas.openxmlformats.org/officeDocument/2006/relationships/hyperlink" Target="https://meteor-uat.aihw.gov.au/content/482119" TargetMode="External" Id="R8967b602127147ca" /><Relationship Type="http://schemas.openxmlformats.org/officeDocument/2006/relationships/hyperlink" Target="https://meteor-uat.aihw.gov.au/RegistrationAuthority/14" TargetMode="External" Id="R6eaf1785df1e4c26" /><Relationship Type="http://schemas.openxmlformats.org/officeDocument/2006/relationships/hyperlink" Target="https://meteor-uat.aihw.gov.au/content/523140" TargetMode="External" Id="R37274ebd9751450b" /><Relationship Type="http://schemas.openxmlformats.org/officeDocument/2006/relationships/hyperlink" Target="https://meteor-uat.aihw.gov.au/RegistrationAuthority/14" TargetMode="External" Id="R5cc4685c14b542f8" /></Relationships>
</file>

<file path=word/_rels/header1.xml.rels>&#65279;<?xml version="1.0" encoding="utf-8"?><Relationships xmlns="http://schemas.openxmlformats.org/package/2006/relationships"><Relationship Type="http://schemas.openxmlformats.org/officeDocument/2006/relationships/image" Target="/media/image.png" Id="Reb9e1c1ea36e4742" /></Relationships>
</file>