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00ce82c9b246d9"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1f4ee92d7a04be6">
                    <w:r>
                      <w:rPr>
                        <w:rStyle w:val="Hyperlink"/>
                      </w:rPr>
                      <w:t xml:space="preserve">Division of General Practice number</w:t>
                    </w:r>
                  </w:hyperlink>
                </w:p>
              </w:tc>
              <w:tc>
                <w:tcPr>
                  <w:vAlign w:val="top"/>
                </w:tcPr>
                <w:p>
                  <w:r>
                    <w:t xml:space="preserve">270014</w:t>
                  </w:r>
                </w:p>
              </w:tc>
              <w:tc>
                <w:tcPr>
                  <w:vAlign w:val="top"/>
                </w:tcPr>
                <w:p>
                  <w:r>
                    <w:t xml:space="preserve">Number
[3]</w:t>
                  </w:r>
                </w:p>
              </w:tc>
              <w:tc>
                <w:tcPr>
                  <w:vAlign w:val="top"/>
                </w:tcPr>
                <w:p>
                  <w:r>
                    <w:t xml:space="preserve">NNN</w:t>
                  </w:r>
                  <w:r>
                    <w:br/>
                  </w:r>
                  <w:r>
                    <w:t xml:space="preserve">A logical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d192f9ab056410c">
                    <w:r>
                      <w:rPr>
                        <w:rStyle w:val="Hyperlink"/>
                      </w:rPr>
                      <w:t xml:space="preserve">Behaviour-related risk factor intervention - purpose</w:t>
                    </w:r>
                  </w:hyperlink>
                </w:p>
              </w:tc>
              <w:tc>
                <w:tcPr>
                  <w:vAlign w:val="top"/>
                </w:tcPr>
                <w:p>
                  <w:r>
                    <w:t xml:space="preserve">270338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Smoking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Nutrition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Alcohol misuse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Physical inactivity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2f3894094df4f47">
                    <w:r>
                      <w:rPr>
                        <w:rStyle w:val="Hyperlink"/>
                      </w:rPr>
                      <w:t xml:space="preserve">Behaviour-related risk factor intervention</w:t>
                    </w:r>
                  </w:hyperlink>
                </w:p>
              </w:tc>
              <w:tc>
                <w:tcPr>
                  <w:vAlign w:val="top"/>
                </w:tcPr>
                <w:p>
                  <w:r>
                    <w:t xml:space="preserve">270165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No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Information and education (not including written regimen)</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Counselling</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Pharmacotherapy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Referral provided to a health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Referral to a community program, support group or service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Written regimen provided</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Surgery</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defined</w:t>
                        </w:r>
                      </w:p>
                    </w:tc>
                  </w:tr>
                </w:tbl>
                <w:p/>
              </w:tc>
            </w:tr>
            <w:tr>
              <w:trPr/>
              <w:tc>
                <w:tcPr>
                  <w:tcMar>
                    <w:right w:w="29" w:type="dxa"/>
                  </w:tcMar>
                  <w:vAlign w:val="top"/>
                </w:tcPr>
                <w:p>
                  <w:pPr>
                    <w:keepNext/>
                    <w:jc w:val="center"/>
                  </w:pPr>
                  <w:r>
                    <w:t xml:space="preserve">-</w:t>
                  </w:r>
                </w:p>
              </w:tc>
              <w:tc>
                <w:tcPr>
                  <w:tcMar/>
                  <w:vAlign w:val="top"/>
                </w:tcPr>
                <w:p>
                  <w:hyperlink w:history="true" r:id="R58d9e6478bfe418e">
                    <w:r>
                      <w:rPr>
                        <w:rStyle w:val="Hyperlink"/>
                      </w:rPr>
                      <w:t xml:space="preserve">Fasting status</w:t>
                    </w:r>
                  </w:hyperlink>
                </w:p>
              </w:tc>
              <w:tc>
                <w:tcPr>
                  <w:vAlign w:val="top"/>
                </w:tcPr>
                <w:p>
                  <w:r>
                    <w:t xml:space="preserve">302941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ed6b51cb4a341c8">
                    <w:r>
                      <w:rPr>
                        <w:rStyle w:val="Hyperlink"/>
                      </w:rPr>
                      <w:t xml:space="preserve">Date of referral to rehabilitation</w:t>
                    </w:r>
                  </w:hyperlink>
                </w:p>
              </w:tc>
              <w:tc>
                <w:tcPr>
                  <w:vAlign w:val="top"/>
                </w:tcPr>
                <w:p>
                  <w:r>
                    <w:t xml:space="preserve">269993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63cb111bef34fc4">
                    <w:r>
                      <w:rPr>
                        <w:rStyle w:val="Hyperlink"/>
                      </w:rPr>
                      <w:t xml:space="preserve">Date of diagnosis</w:t>
                    </w:r>
                  </w:hyperlink>
                </w:p>
              </w:tc>
              <w:tc>
                <w:tcPr>
                  <w:vAlign w:val="top"/>
                </w:tcPr>
                <w:p>
                  <w:r>
                    <w:t xml:space="preserve">270544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e6925ba7a4343a8">
                    <w:r>
                      <w:rPr>
                        <w:rStyle w:val="Hyperlink"/>
                      </w:rPr>
                      <w:t xml:space="preserve">Postcode—Australian (person)</w:t>
                    </w:r>
                  </w:hyperlink>
                </w:p>
              </w:tc>
              <w:tc>
                <w:tcPr>
                  <w:vAlign w:val="top"/>
                </w:tcPr>
                <w:p>
                  <w:r>
                    <w:t xml:space="preserve">287224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d65b1533be314966">
                    <w:r>
                      <w:rPr>
                        <w:rStyle w:val="Hyperlink"/>
                      </w:rPr>
                      <w:t xml:space="preserve">Informal carer availability</w:t>
                    </w:r>
                  </w:hyperlink>
                </w:p>
              </w:tc>
              <w:tc>
                <w:tcPr>
                  <w:vAlign w:val="top"/>
                </w:tcPr>
                <w:p>
                  <w:r>
                    <w:t xml:space="preserve">270168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Has a carer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Has no carer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2fc460fb8004a4a">
                    <w:r>
                      <w:rPr>
                        <w:rStyle w:val="Hyperlink"/>
                      </w:rPr>
                      <w:t xml:space="preserve">Alcohol consumption in standard drinks per day (self-reported)</w:t>
                    </w:r>
                  </w:hyperlink>
                </w:p>
              </w:tc>
              <w:tc>
                <w:tcPr>
                  <w:vAlign w:val="top"/>
                </w:tcPr>
                <w:p>
                  <w:r>
                    <w:t xml:space="preserve">270249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Consumption not reported</w:t>
                        </w:r>
                      </w:p>
                    </w:tc>
                  </w:tr>
                </w:tbl>
                <w:p/>
              </w:tc>
            </w:tr>
            <w:tr>
              <w:trPr/>
              <w:tc>
                <w:tcPr>
                  <w:tcMar>
                    <w:right w:w="29" w:type="dxa"/>
                  </w:tcMar>
                  <w:vAlign w:val="top"/>
                </w:tcPr>
                <w:p>
                  <w:pPr>
                    <w:keepNext/>
                    <w:jc w:val="center"/>
                  </w:pPr>
                  <w:r>
                    <w:t xml:space="preserve">-</w:t>
                  </w:r>
                </w:p>
              </w:tc>
              <w:tc>
                <w:tcPr>
                  <w:tcMar/>
                  <w:vAlign w:val="top"/>
                </w:tcPr>
                <w:p>
                  <w:hyperlink w:history="true" r:id="R6334a20bc06a4a7a">
                    <w:r>
                      <w:rPr>
                        <w:rStyle w:val="Hyperlink"/>
                      </w:rPr>
                      <w:t xml:space="preserve">Alcohol consumption frequency (self reported)</w:t>
                    </w:r>
                  </w:hyperlink>
                </w:p>
              </w:tc>
              <w:tc>
                <w:tcPr>
                  <w:vAlign w:val="top"/>
                </w:tcPr>
                <w:p>
                  <w:r>
                    <w:t xml:space="preserve">270247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Every day/7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5 to 6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3 to 4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1 to 2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2 to 3 days per month</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Once per month</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7 to 11 days in the past year</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4 to 6 days in the past year</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2 to 3 days in the past year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Once in the past year</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Never drank any alcoholic beverage in the past year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Never in my life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589226589bf447e4">
                    <w:r>
                      <w:rPr>
                        <w:rStyle w:val="Hyperlink"/>
                      </w:rPr>
                      <w:t xml:space="preserve">Blood pressure—diastolic (measured)</w:t>
                    </w:r>
                  </w:hyperlink>
                </w:p>
              </w:tc>
              <w:tc>
                <w:tcPr>
                  <w:vAlign w:val="top"/>
                </w:tcPr>
                <w:p>
                  <w:r>
                    <w:t xml:space="preserve">270072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7864d54cd964579">
                    <w:r>
                      <w:rPr>
                        <w:rStyle w:val="Hyperlink"/>
                      </w:rPr>
                      <w:t xml:space="preserve">Blood pressure—systolic (measured)</w:t>
                    </w:r>
                  </w:hyperlink>
                </w:p>
              </w:tc>
              <w:tc>
                <w:tcPr>
                  <w:vAlign w:val="top"/>
                </w:tcPr>
                <w:p>
                  <w:r>
                    <w:t xml:space="preserve">270073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02649b8f30e4493">
                    <w:r>
                      <w:rPr>
                        <w:rStyle w:val="Hyperlink"/>
                      </w:rPr>
                      <w:t xml:space="preserve">CVD drug therapy—condition</w:t>
                    </w:r>
                  </w:hyperlink>
                </w:p>
              </w:tc>
              <w:tc>
                <w:tcPr>
                  <w:vAlign w:val="top"/>
                </w:tcPr>
                <w:p>
                  <w:r>
                    <w:t xml:space="preserve">270193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Heart failure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Ischaemic heart disease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Atrial fibrillation (AF)</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dysrhythmia or conductive disorder</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Dyslipidaemia</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Peripheral vascular disease (PVD)</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Renal vascular disease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Stroke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Transient ischaemic attack (TIA)</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 CVD drugs prescribed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recorded</w:t>
                        </w:r>
                      </w:p>
                    </w:tc>
                  </w:tr>
                </w:tbl>
                <w:p/>
              </w:tc>
            </w:tr>
            <w:tr>
              <w:trPr/>
              <w:tc>
                <w:tcPr>
                  <w:tcMar>
                    <w:right w:w="29" w:type="dxa"/>
                  </w:tcMar>
                  <w:vAlign w:val="top"/>
                </w:tcPr>
                <w:p>
                  <w:pPr>
                    <w:keepNext/>
                    <w:jc w:val="center"/>
                  </w:pPr>
                  <w:r>
                    <w:t xml:space="preserve">-</w:t>
                  </w:r>
                </w:p>
              </w:tc>
              <w:tc>
                <w:tcPr>
                  <w:tcMar/>
                  <w:vAlign w:val="top"/>
                </w:tcPr>
                <w:p>
                  <w:hyperlink w:history="true" r:id="Rf2b5e45549494802">
                    <w:r>
                      <w:rPr>
                        <w:rStyle w:val="Hyperlink"/>
                      </w:rPr>
                      <w:t xml:space="preserve">Cholesterol—total (measured)</w:t>
                    </w:r>
                  </w:hyperlink>
                </w:p>
              </w:tc>
              <w:tc>
                <w:tcPr>
                  <w:vAlign w:val="top"/>
                </w:tcPr>
                <w:p>
                  <w:r>
                    <w:t xml:space="preserve">270403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2c5639549e64c87">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db6279628e9e48b8">
                    <w:r>
                      <w:rPr>
                        <w:rStyle w:val="Hyperlink"/>
                      </w:rPr>
                      <w:t xml:space="preserve">Creatinine serum level (measured)</w:t>
                    </w:r>
                  </w:hyperlink>
                </w:p>
              </w:tc>
              <w:tc>
                <w:tcPr>
                  <w:vAlign w:val="top"/>
                </w:tcPr>
                <w:p>
                  <w:r>
                    <w:t xml:space="preserve">270392</w:t>
                  </w:r>
                </w:p>
              </w:tc>
              <w:tc>
                <w:tcPr>
                  <w:vAlign w:val="top"/>
                </w:tcPr>
                <w:p>
                  <w:r>
                    <w:t xml:space="preserve">String
[4]</w:t>
                  </w:r>
                </w:p>
              </w:tc>
              <w:tc>
                <w:tcPr>
                  <w:vAlign w:val="top"/>
                </w:tcPr>
                <w:p>
                  <w:r>
                    <w:t xml:space="preserve">NN[NN]</w:t>
                  </w:r>
                  <w:r>
                    <w:br/>
                  </w:r>
                  <w:r>
                    <w:t xml:space="preserve">Number of micromoles per litre (</w:t>
                  </w:r>
                  <w:r>
                    <w:t xml:space="preserve">µ</w:t>
                  </w:r>
                  <w:r>
                    <w:t xml:space="preserve">mol/L)</w:t>
                  </w:r>
                </w:p>
              </w:tc>
            </w:tr>
            <w:tr>
              <w:trPr/>
              <w:tc>
                <w:tcPr>
                  <w:tcMar>
                    <w:right w:w="29" w:type="dxa"/>
                  </w:tcMar>
                  <w:vAlign w:val="top"/>
                </w:tcPr>
                <w:p>
                  <w:pPr>
                    <w:keepNext/>
                    <w:jc w:val="center"/>
                  </w:pPr>
                  <w:r>
                    <w:t xml:space="preserve">-</w:t>
                  </w:r>
                </w:p>
              </w:tc>
              <w:tc>
                <w:tcPr>
                  <w:tcMar/>
                  <w:vAlign w:val="top"/>
                </w:tcPr>
                <w:p>
                  <w:hyperlink w:history="true" r:id="R887e18d25acb4073">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c6283ccd54c4e4e">
                    <w:r>
                      <w:rPr>
                        <w:rStyle w:val="Hyperlink"/>
                      </w:rPr>
                      <w:t xml:space="preserve">Diabetes status</w:t>
                    </w:r>
                  </w:hyperlink>
                </w:p>
              </w:tc>
              <w:tc>
                <w:tcPr>
                  <w:vAlign w:val="top"/>
                </w:tcPr>
                <w:p>
                  <w:r>
                    <w:t xml:space="preserve">270194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Type 1 diabetes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Type 2 diabetes</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(secondary diabetes)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Previous 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Impaired fasting glucose (IFG)</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Impaired glucose tolerance (IGT)</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Not diagnosed with diabetes</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Not assessed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c63274fdfef4870">
                    <w:r>
                      <w:rPr>
                        <w:rStyle w:val="Hyperlink"/>
                      </w:rPr>
                      <w:t xml:space="preserve">Diabetes therapy type</w:t>
                    </w:r>
                  </w:hyperlink>
                </w:p>
              </w:tc>
              <w:tc>
                <w:tcPr>
                  <w:vAlign w:val="top"/>
                </w:tcPr>
                <w:p>
                  <w:r>
                    <w:t xml:space="preserve">270236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Diet and exercise only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Oral hypoglycaemic - sulphonylurea only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Oral hypoglycaemic - biguanide (eg metformin) only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Oral hypoglycaemic - alpha-glucosidase inhibitor only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Oral hypoglycaemic - thiazolidinedione only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Oral hypoglycaemic - meglitinide only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Oral hypoglycaemic - combination (eg biguanide &amp; sulphonylurea)</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Oral hypoglycaemic - other</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Insulin only  </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Insulin plus oral hypoglycaemic</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Nil - not currently receiving diabetes treatment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8fa5ba114624dc7">
                    <w:r>
                      <w:rPr>
                        <w:rStyle w:val="Hyperlink"/>
                      </w:rPr>
                      <w:t xml:space="preserve">Formal community support access status</w:t>
                    </w:r>
                  </w:hyperlink>
                </w:p>
              </w:tc>
              <w:tc>
                <w:tcPr>
                  <w:vAlign w:val="top"/>
                </w:tcPr>
                <w:p>
                  <w:r>
                    <w:t xml:space="preserve">270169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Currently accessing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Currently not accessing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known/inadequately described</w:t>
                        </w:r>
                      </w:p>
                    </w:tc>
                  </w:tr>
                </w:tbl>
                <w:p/>
              </w:tc>
            </w:tr>
            <w:tr>
              <w:trPr/>
              <w:tc>
                <w:tcPr>
                  <w:tcMar>
                    <w:right w:w="29" w:type="dxa"/>
                  </w:tcMar>
                  <w:vAlign w:val="top"/>
                </w:tcPr>
                <w:p>
                  <w:pPr>
                    <w:keepNext/>
                    <w:jc w:val="center"/>
                  </w:pPr>
                  <w:r>
                    <w:t xml:space="preserve">-</w:t>
                  </w:r>
                </w:p>
              </w:tc>
              <w:tc>
                <w:tcPr>
                  <w:tcMar/>
                  <w:vAlign w:val="top"/>
                </w:tcPr>
                <w:p>
                  <w:hyperlink w:history="true" r:id="R2ee377463f7746f1">
                    <w:r>
                      <w:rPr>
                        <w:rStyle w:val="Hyperlink"/>
                      </w:rPr>
                      <w:t xml:space="preserve">Height (measured)</w:t>
                    </w:r>
                  </w:hyperlink>
                </w:p>
              </w:tc>
              <w:tc>
                <w:tcPr>
                  <w:vAlign w:val="top"/>
                </w:tcPr>
                <w:p>
                  <w:r>
                    <w:t xml:space="preserve">270361</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9df0a0214ce5412f">
                    <w:r>
                      <w:rPr>
                        <w:rStyle w:val="Hyperlink"/>
                      </w:rPr>
                      <w:t xml:space="preserve">Cholesterol—HDL (measured)</w:t>
                    </w:r>
                  </w:hyperlink>
                </w:p>
              </w:tc>
              <w:tc>
                <w:tcPr>
                  <w:vAlign w:val="top"/>
                </w:tcPr>
                <w:p>
                  <w:r>
                    <w:t xml:space="preserve">270401</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measured/inadequately described</w:t>
                        </w:r>
                      </w:p>
                    </w:tc>
                  </w:tr>
                </w:tbl>
                <w:p/>
              </w:tc>
            </w:tr>
            <w:tr>
              <w:trPr/>
              <w:tc>
                <w:tcPr>
                  <w:tcMar>
                    <w:right w:w="29" w:type="dxa"/>
                  </w:tcMar>
                  <w:vAlign w:val="top"/>
                </w:tcPr>
                <w:p>
                  <w:pPr>
                    <w:keepNext/>
                    <w:jc w:val="center"/>
                  </w:pPr>
                  <w:r>
                    <w:t xml:space="preserve">-</w:t>
                  </w:r>
                </w:p>
              </w:tc>
              <w:tc>
                <w:tcPr>
                  <w:tcMar/>
                  <w:vAlign w:val="top"/>
                </w:tcPr>
                <w:p>
                  <w:hyperlink w:history="true" r:id="Rfcb0b869d7d2411e">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f141d04b0b24a34">
                    <w:r>
                      <w:rPr>
                        <w:rStyle w:val="Hyperlink"/>
                      </w:rPr>
                      <w:t xml:space="preserve">Labour force status</w:t>
                    </w:r>
                  </w:hyperlink>
                </w:p>
              </w:tc>
              <w:tc>
                <w:tcPr>
                  <w:vAlign w:val="top"/>
                </w:tcPr>
                <w:p>
                  <w:r>
                    <w:t xml:space="preserve">270112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in the labour force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04e77e6e0e34b13">
                    <w:r>
                      <w:rPr>
                        <w:rStyle w:val="Hyperlink"/>
                      </w:rPr>
                      <w:t xml:space="preserve">Living arrangement</w:t>
                    </w:r>
                  </w:hyperlink>
                </w:p>
              </w:tc>
              <w:tc>
                <w:tcPr>
                  <w:vAlign w:val="top"/>
                </w:tcPr>
                <w:p>
                  <w:r>
                    <w:t xml:space="preserve">299712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Lives alone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Lives with others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ef64f5e0b5043bd">
                    <w:r>
                      <w:rPr>
                        <w:rStyle w:val="Hyperlink"/>
                      </w:rPr>
                      <w:t xml:space="preserve">Cholesterol—LDL (calculated)</w:t>
                    </w:r>
                  </w:hyperlink>
                </w:p>
              </w:tc>
              <w:tc>
                <w:tcPr>
                  <w:vAlign w:val="top"/>
                </w:tcPr>
                <w:p>
                  <w:r>
                    <w:t xml:space="preserve">270402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8b987d3797048cd">
                    <w:r>
                      <w:rPr>
                        <w:rStyle w:val="Hyperlink"/>
                      </w:rPr>
                      <w:t xml:space="preserve">Tobacco smoking—consumption/quantity (cigarettes)</w:t>
                    </w:r>
                  </w:hyperlink>
                </w:p>
              </w:tc>
              <w:tc>
                <w:tcPr>
                  <w:vAlign w:val="top"/>
                </w:tcPr>
                <w:p>
                  <w:r>
                    <w:t xml:space="preserve">270332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84ba11aa846433e">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8f81632cc9a4fa7">
                    <w:r>
                      <w:rPr>
                        <w:rStyle w:val="Hyperlink"/>
                      </w:rPr>
                      <w:t xml:space="preserve">Physical activity sufficiency status</w:t>
                    </w:r>
                  </w:hyperlink>
                </w:p>
              </w:tc>
              <w:tc>
                <w:tcPr>
                  <w:vAlign w:val="top"/>
                </w:tcPr>
                <w:p>
                  <w:r>
                    <w:t xml:space="preserve">270054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Sufficient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Insufficient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Sedentary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62542cbc8434fd9">
                    <w:r>
                      <w:rPr>
                        <w:rStyle w:val="Hyperlink"/>
                      </w:rPr>
                      <w:t xml:space="preserve">Preferred language</w:t>
                    </w:r>
                  </w:hyperlink>
                </w:p>
              </w:tc>
              <w:tc>
                <w:tcPr>
                  <w:vAlign w:val="top"/>
                </w:tcPr>
                <w:p>
                  <w:r>
                    <w:t xml:space="preserve">304128</w:t>
                  </w:r>
                </w:p>
              </w:tc>
              <w:tc>
                <w:tcPr>
                  <w:vAlign w:val="top"/>
                </w:tcPr>
                <w:p>
                  <w:r>
                    <w:t xml:space="preserve">Number
[4]</w:t>
                  </w:r>
                </w:p>
              </w:tc>
              <w:tc>
                <w:tcPr>
                  <w:vAlign w:val="top"/>
                </w:tcPr>
                <w:p>
                  <w:r>
                    <w:t xml:space="preserve">NN{NN}</w:t>
                  </w:r>
                  <w:r>
                    <w:br/>
                  </w:r>
                  <w:r>
                    <w:t xml:space="preserve">The ASCL (2005) code set representing languages.</w:t>
                  </w:r>
                </w:p>
              </w:tc>
            </w:tr>
            <w:tr>
              <w:trPr/>
              <w:tc>
                <w:tcPr>
                  <w:tcMar>
                    <w:right w:w="29" w:type="dxa"/>
                  </w:tcMar>
                  <w:vAlign w:val="top"/>
                </w:tcPr>
                <w:p>
                  <w:pPr>
                    <w:keepNext/>
                    <w:jc w:val="center"/>
                  </w:pPr>
                  <w:r>
                    <w:t xml:space="preserve">-</w:t>
                  </w:r>
                </w:p>
              </w:tc>
              <w:tc>
                <w:tcPr>
                  <w:tcMar/>
                  <w:vAlign w:val="top"/>
                </w:tcPr>
                <w:p>
                  <w:hyperlink w:history="true" r:id="Reb03db850d3141aa">
                    <w:r>
                      <w:rPr>
                        <w:rStyle w:val="Hyperlink"/>
                      </w:rPr>
                      <w:t xml:space="preserve">Premature cardiovascular disease family history (status)</w:t>
                    </w:r>
                  </w:hyperlink>
                </w:p>
              </w:tc>
              <w:tc>
                <w:tcPr>
                  <w:vAlign w:val="top"/>
                </w:tcPr>
                <w:p>
                  <w:r>
                    <w:t xml:space="preserve">270280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Family history status not 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recorded</w:t>
                        </w:r>
                      </w:p>
                    </w:tc>
                  </w:tr>
                </w:tbl>
                <w:p/>
              </w:tc>
            </w:tr>
            <w:tr>
              <w:trPr/>
              <w:tc>
                <w:tcPr>
                  <w:tcMar>
                    <w:right w:w="29" w:type="dxa"/>
                  </w:tcMar>
                  <w:vAlign w:val="top"/>
                </w:tcPr>
                <w:p>
                  <w:pPr>
                    <w:keepNext/>
                    <w:jc w:val="center"/>
                  </w:pPr>
                  <w:r>
                    <w:t xml:space="preserve">-</w:t>
                  </w:r>
                </w:p>
              </w:tc>
              <w:tc>
                <w:tcPr>
                  <w:tcMar/>
                  <w:vAlign w:val="top"/>
                </w:tcPr>
                <w:p>
                  <w:hyperlink w:history="true" r:id="Rb1132d45fd73403a">
                    <w:r>
                      <w:rPr>
                        <w:rStyle w:val="Hyperlink"/>
                      </w:rPr>
                      <w:t xml:space="preserve">Proteinuria status</w:t>
                    </w:r>
                  </w:hyperlink>
                </w:p>
              </w:tc>
              <w:tc>
                <w:tcPr>
                  <w:vAlign w:val="top"/>
                </w:tcPr>
                <w:p>
                  <w:r>
                    <w:t xml:space="preserve">270346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Negative for protein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Microalbuminuria present</w:t>
                        </w:r>
                      </w:p>
                    </w:tc>
                  </w:tr>
                  <w:tr>
                    <w:trPr/>
                    <w:tc>
                      <w:tcPr>
                        <w:tcW w:w="1000" w:type="pct"/>
                        <w:tcBorders>
                          <w:top w:val="none" w:color="000000" w:sz="0"/>
                          <w:left w:val="none" w:color="000000" w:sz="0"/>
                          <w:bottom w:val="none" w:color="000000" w:sz="0"/>
                          <w:right w:val="none" w:color="000000" w:sz="0"/>
                        </w:tcBorders>
                        <w:tcMar/>
                        <w:vAlign w:val="top"/>
                      </w:tcPr>
                      <w:p>
                        <w:r>
                          <w:t xml:space="preserve"> 1.2 </w:t>
                        </w:r>
                      </w:p>
                    </w:tc>
                    <w:tc>
                      <w:tcPr>
                        <w:tcBorders>
                          <w:top w:val="none" w:color="000000" w:sz="0"/>
                          <w:left w:val="none" w:color="000000" w:sz="0"/>
                          <w:bottom w:val="none" w:color="000000" w:sz="0"/>
                          <w:right w:val="none" w:color="000000" w:sz="0"/>
                        </w:tcBorders>
                        <w:tcMar/>
                        <w:vAlign w:val="top"/>
                      </w:tcPr>
                      <w:p>
                        <w:r>
                          <w:t xml:space="preserve">Microalbuminuria not present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Microalbuminuria not tested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Proteinuria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tested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e155159b7d3421e">
                    <w:r>
                      <w:rPr>
                        <w:rStyle w:val="Hyperlink"/>
                      </w:rPr>
                      <w:t xml:space="preserve">Renal disease therapy</w:t>
                    </w:r>
                  </w:hyperlink>
                </w:p>
              </w:tc>
              <w:tc>
                <w:tcPr>
                  <w:vAlign w:val="top"/>
                </w:tcPr>
                <w:p>
                  <w:r>
                    <w:t xml:space="preserve">270264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Drugs for modification of renal disease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Drugs for treatment of complications of renal disease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Peritoneal dialysis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Haemodialysis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Functioning renal transplant</w:t>
                        </w:r>
                      </w:p>
                    </w:tc>
                  </w:tr>
                </w:tbl>
                <w:p/>
              </w:tc>
            </w:tr>
            <w:tr>
              <w:trPr/>
              <w:tc>
                <w:tcPr>
                  <w:tcMar>
                    <w:right w:w="29" w:type="dxa"/>
                  </w:tcMar>
                  <w:vAlign w:val="top"/>
                </w:tcPr>
                <w:p>
                  <w:pPr>
                    <w:keepNext/>
                    <w:jc w:val="center"/>
                  </w:pPr>
                  <w:r>
                    <w:t xml:space="preserve">-</w:t>
                  </w:r>
                </w:p>
              </w:tc>
              <w:tc>
                <w:tcPr>
                  <w:tcMar/>
                  <w:vAlign w:val="top"/>
                </w:tcPr>
                <w:p>
                  <w:hyperlink w:history="true" r:id="R985d4cb0cd4149c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3b11cf64c724d1b">
                    <w:r>
                      <w:rPr>
                        <w:rStyle w:val="Hyperlink"/>
                      </w:rPr>
                      <w:t xml:space="preserve">Tobacco smoking status</w:t>
                    </w:r>
                  </w:hyperlink>
                </w:p>
              </w:tc>
              <w:tc>
                <w:tcPr>
                  <w:vAlign w:val="top"/>
                </w:tcPr>
                <w:p>
                  <w:r>
                    <w:t xml:space="preserve">270311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Daily smoker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Weekly smoker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Irregular smoker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Ex-smoker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Never smoked</w:t>
                        </w:r>
                      </w:p>
                    </w:tc>
                  </w:tr>
                </w:tbl>
                <w:p/>
              </w:tc>
            </w:tr>
            <w:tr>
              <w:trPr/>
              <w:tc>
                <w:tcPr>
                  <w:tcMar>
                    <w:right w:w="29" w:type="dxa"/>
                  </w:tcMar>
                  <w:vAlign w:val="top"/>
                </w:tcPr>
                <w:p>
                  <w:pPr>
                    <w:keepNext/>
                    <w:jc w:val="center"/>
                  </w:pPr>
                  <w:r>
                    <w:t xml:space="preserve">-</w:t>
                  </w:r>
                </w:p>
              </w:tc>
              <w:tc>
                <w:tcPr>
                  <w:tcMar/>
                  <w:vAlign w:val="top"/>
                </w:tcPr>
                <w:p>
                  <w:hyperlink w:history="true" r:id="R8c7a1589bb6f4f2c">
                    <w:r>
                      <w:rPr>
                        <w:rStyle w:val="Hyperlink"/>
                      </w:rPr>
                      <w:t xml:space="preserve">Triglyceride level (measured)</w:t>
                    </w:r>
                  </w:hyperlink>
                </w:p>
              </w:tc>
              <w:tc>
                <w:tcPr>
                  <w:vAlign w:val="top"/>
                </w:tcPr>
                <w:p>
                  <w:r>
                    <w:t xml:space="preserve">270229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173e1ce13c24bd2">
                    <w:r>
                      <w:rPr>
                        <w:rStyle w:val="Hyperlink"/>
                      </w:rPr>
                      <w:t xml:space="preserve">Vascular history</w:t>
                    </w:r>
                  </w:hyperlink>
                </w:p>
              </w:tc>
              <w:tc>
                <w:tcPr>
                  <w:vAlign w:val="top"/>
                </w:tcPr>
                <w:p>
                  <w:r>
                    <w:t xml:space="preserve">269958</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Myocardial infarction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Unstable angina pectoris</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Angina</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Heart failure</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Atrial fibrillation</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Other dysrhythmia or conductive disorder</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Rheumatic heart disease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Non-rheumatic valvular heart disease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Left ventricular hypertrophy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Stroke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Transient ischaemic attack</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Peripheral vascular disease (includes abdominal aortic aneurism)</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Deep vein thrombosis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Other atherosclerotic disease</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Carotid stenosis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Vascular renal disease</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Vascular retinopathy (hypertensive)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Vascular retinopathy (diabetic)</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Other vascular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 vascular history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Unknown/not stated /not specified</w:t>
                        </w:r>
                      </w:p>
                    </w:tc>
                  </w:tr>
                </w:tbl>
                <w:p/>
              </w:tc>
            </w:tr>
            <w:tr>
              <w:trPr/>
              <w:tc>
                <w:tcPr>
                  <w:tcMar>
                    <w:right w:w="29" w:type="dxa"/>
                  </w:tcMar>
                  <w:vAlign w:val="top"/>
                </w:tcPr>
                <w:p>
                  <w:pPr>
                    <w:keepNext/>
                    <w:jc w:val="center"/>
                  </w:pPr>
                  <w:r>
                    <w:t xml:space="preserve">-</w:t>
                  </w:r>
                </w:p>
              </w:tc>
              <w:tc>
                <w:tcPr>
                  <w:tcMar/>
                  <w:vAlign w:val="top"/>
                </w:tcPr>
                <w:p>
                  <w:hyperlink w:history="true" r:id="Rbd05dd76550544d5">
                    <w:r>
                      <w:rPr>
                        <w:rStyle w:val="Hyperlink"/>
                      </w:rPr>
                      <w:t xml:space="preserve">Vascular procedures</w:t>
                    </w:r>
                  </w:hyperlink>
                </w:p>
              </w:tc>
              <w:tc>
                <w:tcPr>
                  <w:vAlign w:val="top"/>
                </w:tcPr>
                <w:p>
                  <w:r>
                    <w:t xml:space="preserve">269962</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Amputation for arterial vascular insufficiency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Carotid angioplasty/stenting</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Coronary angioplasty/stenting</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Renal artery angioplasty/stenting</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Heart transplant</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Heart valve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Abdominal aortic aneurism repair/bypass graft/stenting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Cerebral circulation angioplasty/stenting</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Femoral/popliteal bypass/graft/stenting</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Congenital heart and blood vessel defect surgery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Permanent pacemaker implantation</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Implantable cardiac defibrillator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Unknown/not recorded</w:t>
                        </w:r>
                      </w:p>
                    </w:tc>
                  </w:tr>
                </w:tbl>
                <w:p/>
              </w:tc>
            </w:tr>
            <w:tr>
              <w:trPr/>
              <w:tc>
                <w:tcPr>
                  <w:tcMar>
                    <w:right w:w="29" w:type="dxa"/>
                  </w:tcMar>
                  <w:vAlign w:val="top"/>
                </w:tcPr>
                <w:p>
                  <w:pPr>
                    <w:keepNext/>
                    <w:jc w:val="center"/>
                  </w:pPr>
                  <w:r>
                    <w:t xml:space="preserve">-</w:t>
                  </w:r>
                </w:p>
              </w:tc>
              <w:tc>
                <w:tcPr>
                  <w:tcMar/>
                  <w:vAlign w:val="top"/>
                </w:tcPr>
                <w:p>
                  <w:hyperlink w:history="true" r:id="R5b25e035c49a4252">
                    <w:r>
                      <w:rPr>
                        <w:rStyle w:val="Hyperlink"/>
                      </w:rPr>
                      <w:t xml:space="preserve">Waist circumference (measured)</w:t>
                    </w:r>
                  </w:hyperlink>
                </w:p>
              </w:tc>
              <w:tc>
                <w:tcPr>
                  <w:vAlign w:val="top"/>
                </w:tcPr>
                <w:p>
                  <w:r>
                    <w:t xml:space="preserve">270129</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739321ce81d94c50">
                    <w:r>
                      <w:rPr>
                        <w:rStyle w:val="Hyperlink"/>
                      </w:rPr>
                      <w:t xml:space="preserve">Weight in kilograms (measured)</w:t>
                    </w:r>
                  </w:hyperlink>
                </w:p>
              </w:tc>
              <w:tc>
                <w:tcPr>
                  <w:vAlign w:val="top"/>
                </w:tcPr>
                <w:p>
                  <w:r>
                    <w:t xml:space="preserve">270208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collected</w:t>
                        </w:r>
                      </w:p>
                    </w:tc>
                  </w:tr>
                </w:tbl>
                <w:p/>
              </w:tc>
            </w:tr>
            <w:tr>
              <w:trPr/>
              <w:tc>
                <w:tcPr>
                  <w:tcMar>
                    <w:right w:w="29" w:type="dxa"/>
                  </w:tcMar>
                  <w:vAlign w:val="top"/>
                </w:tcPr>
                <w:p>
                  <w:pPr>
                    <w:keepNext/>
                    <w:jc w:val="center"/>
                  </w:pPr>
                  <w:r>
                    <w:t xml:space="preserve">-</w:t>
                  </w:r>
                </w:p>
              </w:tc>
              <w:tc>
                <w:tcPr>
                  <w:tcMar/>
                  <w:vAlign w:val="top"/>
                </w:tcPr>
                <w:p>
                  <w:hyperlink w:history="true" r:id="R238da603c2af4cd2">
                    <w:r>
                      <w:rPr>
                        <w:rStyle w:val="Hyperlink"/>
                      </w:rPr>
                      <w:t xml:space="preserve">Service contact date</w:t>
                    </w:r>
                  </w:hyperlink>
                </w:p>
              </w:tc>
              <w:tc>
                <w:tcPr>
                  <w:vAlign w:val="top"/>
                </w:tcPr>
                <w:p>
                  <w:r>
                    <w:t xml:space="preserve">270122</w:t>
                  </w:r>
                </w:p>
              </w:tc>
              <w:tc>
                <w:tcPr>
                  <w:vAlign w:val="top"/>
                </w:tcPr>
                <w:p>
                  <w:r>
                    <w:t xml:space="preserve">Date/Time
[8]</w:t>
                  </w:r>
                </w:p>
              </w:tc>
              <w:tc>
                <w:tcPr>
                  <w:vAlign w:val="top"/>
                </w:tcPr>
                <w:p>
                  <w:r>
                    <w:t xml:space="preserve">DDMMYYYY</w:t>
                  </w:r>
                  <w:r>
                    <w:br/>
                  </w:r>
                  <w:r>
                    <w:t xml:space="preserve">The day of a particular month and year.</w:t>
                  </w:r>
                </w:p>
              </w:tc>
            </w:tr>
          </w:tbl>
          <w:p/>
        </w:tc>
      </w:tr>
    </w:tbl>
    <w:p>
      <w:r>
        <w:br/>
      </w:r>
    </w:p>
    <w:sectPr>
      <w:footerReference xmlns:r="http://schemas.openxmlformats.org/officeDocument/2006/relationships" w:type="default" r:id="Rca4d408710324ab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348289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c9927d0b804a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4d408710324ab9" /><Relationship Type="http://schemas.openxmlformats.org/officeDocument/2006/relationships/header" Target="/word/header1.xml" Id="Rccf1f3fad3304ec8" /><Relationship Type="http://schemas.openxmlformats.org/officeDocument/2006/relationships/settings" Target="/word/settings.xml" Id="R792cbf3bbea1453f" /><Relationship Type="http://schemas.openxmlformats.org/officeDocument/2006/relationships/styles" Target="/word/styles.xml" Id="R343796068dc74e14" /><Relationship Type="http://schemas.openxmlformats.org/officeDocument/2006/relationships/hyperlink" Target="https://meteor-uat.aihw.gov.au/content/270014" TargetMode="External" Id="Rc1f4ee92d7a04be6" /><Relationship Type="http://schemas.openxmlformats.org/officeDocument/2006/relationships/hyperlink" Target="https://meteor-uat.aihw.gov.au/content/270338" TargetMode="External" Id="R7d192f9ab056410c" /><Relationship Type="http://schemas.openxmlformats.org/officeDocument/2006/relationships/hyperlink" Target="https://meteor-uat.aihw.gov.au/content/270165" TargetMode="External" Id="Rd2f3894094df4f47" /><Relationship Type="http://schemas.openxmlformats.org/officeDocument/2006/relationships/hyperlink" Target="https://meteor-uat.aihw.gov.au/content/302941" TargetMode="External" Id="R58d9e6478bfe418e" /><Relationship Type="http://schemas.openxmlformats.org/officeDocument/2006/relationships/hyperlink" Target="https://meteor-uat.aihw.gov.au/content/269993" TargetMode="External" Id="Rbed6b51cb4a341c8" /><Relationship Type="http://schemas.openxmlformats.org/officeDocument/2006/relationships/hyperlink" Target="https://meteor-uat.aihw.gov.au/content/270544" TargetMode="External" Id="R863cb111bef34fc4" /><Relationship Type="http://schemas.openxmlformats.org/officeDocument/2006/relationships/hyperlink" Target="https://meteor-uat.aihw.gov.au/content/287224" TargetMode="External" Id="R5e6925ba7a4343a8" /><Relationship Type="http://schemas.openxmlformats.org/officeDocument/2006/relationships/hyperlink" Target="https://meteor-uat.aihw.gov.au/content/270168" TargetMode="External" Id="Rd65b1533be314966" /><Relationship Type="http://schemas.openxmlformats.org/officeDocument/2006/relationships/hyperlink" Target="https://meteor-uat.aihw.gov.au/content/270249" TargetMode="External" Id="R72fc460fb8004a4a" /><Relationship Type="http://schemas.openxmlformats.org/officeDocument/2006/relationships/hyperlink" Target="https://meteor-uat.aihw.gov.au/content/270247" TargetMode="External" Id="R6334a20bc06a4a7a" /><Relationship Type="http://schemas.openxmlformats.org/officeDocument/2006/relationships/hyperlink" Target="https://meteor-uat.aihw.gov.au/content/270072" TargetMode="External" Id="R589226589bf447e4" /><Relationship Type="http://schemas.openxmlformats.org/officeDocument/2006/relationships/hyperlink" Target="https://meteor-uat.aihw.gov.au/content/270073" TargetMode="External" Id="Rf7864d54cd964579" /><Relationship Type="http://schemas.openxmlformats.org/officeDocument/2006/relationships/hyperlink" Target="https://meteor-uat.aihw.gov.au/content/270193" TargetMode="External" Id="Rc02649b8f30e4493" /><Relationship Type="http://schemas.openxmlformats.org/officeDocument/2006/relationships/hyperlink" Target="https://meteor-uat.aihw.gov.au/content/270403" TargetMode="External" Id="Rf2b5e45549494802" /><Relationship Type="http://schemas.openxmlformats.org/officeDocument/2006/relationships/hyperlink" Target="https://meteor-uat.aihw.gov.au/content/270277" TargetMode="External" Id="R52c5639549e64c87" /><Relationship Type="http://schemas.openxmlformats.org/officeDocument/2006/relationships/hyperlink" Target="https://meteor-uat.aihw.gov.au/content/270392" TargetMode="External" Id="Rdb6279628e9e48b8" /><Relationship Type="http://schemas.openxmlformats.org/officeDocument/2006/relationships/hyperlink" Target="https://meteor-uat.aihw.gov.au/content/287007" TargetMode="External" Id="R887e18d25acb4073" /><Relationship Type="http://schemas.openxmlformats.org/officeDocument/2006/relationships/hyperlink" Target="https://meteor-uat.aihw.gov.au/content/270194" TargetMode="External" Id="Rac6283ccd54c4e4e" /><Relationship Type="http://schemas.openxmlformats.org/officeDocument/2006/relationships/hyperlink" Target="https://meteor-uat.aihw.gov.au/content/270236" TargetMode="External" Id="Rac63274fdfef4870" /><Relationship Type="http://schemas.openxmlformats.org/officeDocument/2006/relationships/hyperlink" Target="https://meteor-uat.aihw.gov.au/content/270169" TargetMode="External" Id="Rb8fa5ba114624dc7" /><Relationship Type="http://schemas.openxmlformats.org/officeDocument/2006/relationships/hyperlink" Target="https://meteor-uat.aihw.gov.au/content/270361" TargetMode="External" Id="R2ee377463f7746f1" /><Relationship Type="http://schemas.openxmlformats.org/officeDocument/2006/relationships/hyperlink" Target="https://meteor-uat.aihw.gov.au/content/270401" TargetMode="External" Id="R9df0a0214ce5412f" /><Relationship Type="http://schemas.openxmlformats.org/officeDocument/2006/relationships/hyperlink" Target="https://meteor-uat.aihw.gov.au/content/291036" TargetMode="External" Id="Rfcb0b869d7d2411e" /><Relationship Type="http://schemas.openxmlformats.org/officeDocument/2006/relationships/hyperlink" Target="https://meteor-uat.aihw.gov.au/content/270112" TargetMode="External" Id="R3f141d04b0b24a34" /><Relationship Type="http://schemas.openxmlformats.org/officeDocument/2006/relationships/hyperlink" Target="https://meteor-uat.aihw.gov.au/content/299712" TargetMode="External" Id="Re04e77e6e0e34b13" /><Relationship Type="http://schemas.openxmlformats.org/officeDocument/2006/relationships/hyperlink" Target="https://meteor-uat.aihw.gov.au/content/270402" TargetMode="External" Id="R9ef64f5e0b5043bd" /><Relationship Type="http://schemas.openxmlformats.org/officeDocument/2006/relationships/hyperlink" Target="https://meteor-uat.aihw.gov.au/content/270332" TargetMode="External" Id="Rb8b987d3797048cd" /><Relationship Type="http://schemas.openxmlformats.org/officeDocument/2006/relationships/hyperlink" Target="https://meteor-uat.aihw.gov.au/content/290046" TargetMode="External" Id="R884ba11aa846433e" /><Relationship Type="http://schemas.openxmlformats.org/officeDocument/2006/relationships/hyperlink" Target="https://meteor-uat.aihw.gov.au/content/270054" TargetMode="External" Id="R68f81632cc9a4fa7" /><Relationship Type="http://schemas.openxmlformats.org/officeDocument/2006/relationships/hyperlink" Target="https://meteor-uat.aihw.gov.au/content/304128" TargetMode="External" Id="R662542cbc8434fd9" /><Relationship Type="http://schemas.openxmlformats.org/officeDocument/2006/relationships/hyperlink" Target="https://meteor-uat.aihw.gov.au/content/270280" TargetMode="External" Id="Reb03db850d3141aa" /><Relationship Type="http://schemas.openxmlformats.org/officeDocument/2006/relationships/hyperlink" Target="https://meteor-uat.aihw.gov.au/content/270346" TargetMode="External" Id="Rb1132d45fd73403a" /><Relationship Type="http://schemas.openxmlformats.org/officeDocument/2006/relationships/hyperlink" Target="https://meteor-uat.aihw.gov.au/content/270264" TargetMode="External" Id="Rce155159b7d3421e" /><Relationship Type="http://schemas.openxmlformats.org/officeDocument/2006/relationships/hyperlink" Target="https://meteor-uat.aihw.gov.au/content/287316" TargetMode="External" Id="R985d4cb0cd4149c1" /><Relationship Type="http://schemas.openxmlformats.org/officeDocument/2006/relationships/hyperlink" Target="https://meteor-uat.aihw.gov.au/content/270311" TargetMode="External" Id="Rf3b11cf64c724d1b" /><Relationship Type="http://schemas.openxmlformats.org/officeDocument/2006/relationships/hyperlink" Target="https://meteor-uat.aihw.gov.au/content/270229" TargetMode="External" Id="R8c7a1589bb6f4f2c" /><Relationship Type="http://schemas.openxmlformats.org/officeDocument/2006/relationships/hyperlink" Target="https://meteor-uat.aihw.gov.au/content/269958" TargetMode="External" Id="R1173e1ce13c24bd2" /><Relationship Type="http://schemas.openxmlformats.org/officeDocument/2006/relationships/hyperlink" Target="https://meteor-uat.aihw.gov.au/content/269962" TargetMode="External" Id="Rbd05dd76550544d5" /><Relationship Type="http://schemas.openxmlformats.org/officeDocument/2006/relationships/hyperlink" Target="https://meteor-uat.aihw.gov.au/content/270129" TargetMode="External" Id="R5b25e035c49a4252" /><Relationship Type="http://schemas.openxmlformats.org/officeDocument/2006/relationships/hyperlink" Target="https://meteor-uat.aihw.gov.au/content/270208" TargetMode="External" Id="R739321ce81d94c50" /><Relationship Type="http://schemas.openxmlformats.org/officeDocument/2006/relationships/hyperlink" Target="https://meteor-uat.aihw.gov.au/content/270122" TargetMode="External" Id="R238da603c2af4cd2" /></Relationships>
</file>

<file path=word/_rels/header1.xml.rels>&#65279;<?xml version="1.0" encoding="utf-8"?><Relationships xmlns="http://schemas.openxmlformats.org/package/2006/relationships"><Relationship Type="http://schemas.openxmlformats.org/officeDocument/2006/relationships/image" Target="/media/image.png" Id="R65c9927d0b804a32" /></Relationships>
</file>