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b43dbe740e490f" /></Relationships>
</file>

<file path=word/document.xml><?xml version="1.0" encoding="utf-8"?>
<w:document xmlns:r="http://schemas.openxmlformats.org/officeDocument/2006/relationships" xmlns:w="http://schemas.openxmlformats.org/wordprocessingml/2006/main">
  <w:body>
    <w:p>
      <w:pPr>
        <w:pStyle w:val="Title"/>
      </w:pPr>
      <w:r>
        <w:t>Admitted patient care NMDS 2007-08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2007-08</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70a7e65b59ef4ebd">
                    <w:r>
                      <w:rPr>
                        <w:rStyle w:val="Hyperlink"/>
                      </w:rPr>
                      <w:t xml:space="preserve">Number of qualified days for newborns</w:t>
                    </w:r>
                  </w:hyperlink>
                </w:p>
              </w:tc>
              <w:tc>
                <w:tcPr>
                  <w:vAlign w:val="top"/>
                </w:tcPr>
                <w:p>
                  <w:r>
                    <w:t xml:space="preserve">270033</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0698958507cc4664">
                    <w:r>
                      <w:rPr>
                        <w:rStyle w:val="Hyperlink"/>
                      </w:rPr>
                      <w:t xml:space="preserve">Admission date</w:t>
                    </w:r>
                  </w:hyperlink>
                </w:p>
              </w:tc>
              <w:tc>
                <w:tcPr>
                  <w:vAlign w:val="top"/>
                </w:tcPr>
                <w:p>
                  <w:r>
                    <w:t xml:space="preserve">269967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13e46bbde17d4d84">
                    <w:r>
                      <w:rPr>
                        <w:rStyle w:val="Hyperlink"/>
                      </w:rPr>
                      <w:t xml:space="preserve">Mode of admission</w:t>
                    </w:r>
                  </w:hyperlink>
                </w:p>
              </w:tc>
              <w:tc>
                <w:tcPr>
                  <w:vAlign w:val="top"/>
                </w:tcPr>
                <w:p>
                  <w:r>
                    <w:t xml:space="preserve">269976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patient transferred from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Statistical admission - episode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a82cb3fab9164f90">
                    <w:r>
                      <w:rPr>
                        <w:rStyle w:val="Hyperlink"/>
                      </w:rPr>
                      <w:t xml:space="preserve">Urgency of admission</w:t>
                    </w:r>
                  </w:hyperlink>
                </w:p>
              </w:tc>
              <w:tc>
                <w:tcPr>
                  <w:vAlign w:val="top"/>
                </w:tcPr>
                <w:p>
                  <w:r>
                    <w:t xml:space="preserve">269986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Urgency status assigned - emergency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Urgency status assigned - elective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Urgency status not assigned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known/not reported</w:t>
                        </w:r>
                      </w:p>
                    </w:tc>
                  </w:tr>
                </w:tbl>
                <w:p/>
              </w:tc>
            </w:tr>
            <w:tr>
              <w:trPr/>
              <w:tc>
                <w:tcPr>
                  <w:tcMar>
                    <w:right w:w="29" w:type="dxa"/>
                  </w:tcMar>
                  <w:vAlign w:val="top"/>
                </w:tcPr>
                <w:p>
                  <w:pPr>
                    <w:keepNext/>
                    <w:jc w:val="center"/>
                  </w:pPr>
                  <w:r>
                    <w:t xml:space="preserve">-</w:t>
                  </w:r>
                </w:p>
              </w:tc>
              <w:tc>
                <w:tcPr>
                  <w:tcMar/>
                  <w:vAlign w:val="top"/>
                </w:tcPr>
                <w:p>
                  <w:hyperlink w:history="true" r:id="Reddfe2ce4f854b98">
                    <w:r>
                      <w:rPr>
                        <w:rStyle w:val="Hyperlink"/>
                      </w:rPr>
                      <w:t xml:space="preserve">Diagnosis related group</w:t>
                    </w:r>
                  </w:hyperlink>
                </w:p>
              </w:tc>
              <w:tc>
                <w:tcPr>
                  <w:vAlign w:val="top"/>
                </w:tcPr>
                <w:p>
                  <w:r>
                    <w:t xml:space="preserve">270195</w:t>
                  </w:r>
                </w:p>
              </w:tc>
              <w:tc>
                <w:tcPr>
                  <w:vAlign w:val="top"/>
                </w:tcPr>
                <w:p>
                  <w:r>
                    <w:t xml:space="preserve">String
[4]</w:t>
                  </w:r>
                </w:p>
              </w:tc>
              <w:tc>
                <w:tcPr>
                  <w:vAlign w:val="top"/>
                </w:tcPr>
                <w:p>
                  <w:r>
                    <w:t xml:space="preserve">ANNA</w:t>
                  </w:r>
                  <w:r>
                    <w:br/>
                  </w:r>
                  <w:r>
                    <w:t xml:space="preserve">The AR-DRG (version 5.1) code set representing acute admitted patient episodes in public and private hospitals.</w:t>
                  </w:r>
                </w:p>
              </w:tc>
            </w:tr>
            <w:tr>
              <w:trPr/>
              <w:tc>
                <w:tcPr>
                  <w:tcMar>
                    <w:right w:w="29" w:type="dxa"/>
                  </w:tcMar>
                  <w:vAlign w:val="top"/>
                </w:tcPr>
                <w:p>
                  <w:pPr>
                    <w:keepNext/>
                    <w:jc w:val="center"/>
                  </w:pPr>
                  <w:r>
                    <w:t xml:space="preserve">-</w:t>
                  </w:r>
                </w:p>
              </w:tc>
              <w:tc>
                <w:tcPr>
                  <w:tcMar/>
                  <w:vAlign w:val="top"/>
                </w:tcPr>
                <w:p>
                  <w:hyperlink w:history="true" r:id="Rb87fcca3e8464c67">
                    <w:r>
                      <w:rPr>
                        <w:rStyle w:val="Hyperlink"/>
                      </w:rPr>
                      <w:t xml:space="preserve">Intended length of hospital stay</w:t>
                    </w:r>
                  </w:hyperlink>
                </w:p>
              </w:tc>
              <w:tc>
                <w:tcPr>
                  <w:vAlign w:val="top"/>
                </w:tcPr>
                <w:p>
                  <w:r>
                    <w:t xml:space="preserve">270399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Intended same-day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Intended overnight</w:t>
                        </w:r>
                      </w:p>
                    </w:tc>
                  </w:tr>
                </w:tbl>
                <w:p/>
              </w:tc>
            </w:tr>
            <w:tr>
              <w:trPr/>
              <w:tc>
                <w:tcPr>
                  <w:tcMar>
                    <w:right w:w="29" w:type="dxa"/>
                  </w:tcMar>
                  <w:vAlign w:val="top"/>
                </w:tcPr>
                <w:p>
                  <w:pPr>
                    <w:keepNext/>
                    <w:jc w:val="center"/>
                  </w:pPr>
                  <w:r>
                    <w:t xml:space="preserve">-</w:t>
                  </w:r>
                </w:p>
              </w:tc>
              <w:tc>
                <w:tcPr>
                  <w:tcMar/>
                  <w:vAlign w:val="top"/>
                </w:tcPr>
                <w:p>
                  <w:hyperlink w:history="true" r:id="R8705a8f60afc4401">
                    <w:r>
                      <w:rPr>
                        <w:rStyle w:val="Hyperlink"/>
                      </w:rPr>
                      <w:t xml:space="preserve">Major diagnostic category</w:t>
                    </w:r>
                  </w:hyperlink>
                </w:p>
              </w:tc>
              <w:tc>
                <w:tcPr>
                  <w:vAlign w:val="top"/>
                </w:tcPr>
                <w:p>
                  <w:r>
                    <w:t xml:space="preserve">270400</w:t>
                  </w:r>
                </w:p>
              </w:tc>
              <w:tc>
                <w:tcPr>
                  <w:vAlign w:val="top"/>
                </w:tcPr>
                <w:p>
                  <w:r>
                    <w:t xml:space="preserve">String
[2]</w:t>
                  </w:r>
                </w:p>
              </w:tc>
              <w:tc>
                <w:tcPr>
                  <w:vAlign w:val="top"/>
                </w:tcPr>
                <w:p>
                  <w:r>
                    <w:t xml:space="preserve">NN</w:t>
                  </w:r>
                  <w:r>
                    <w:br/>
                  </w:r>
                  <w:r>
                    <w:t xml:space="preserve">The AR-DRG (version 5.1) code set representing acute admitted patient episodes in public and private hospitals.</w:t>
                  </w:r>
                </w:p>
              </w:tc>
            </w:tr>
            <w:tr>
              <w:trPr/>
              <w:tc>
                <w:tcPr>
                  <w:tcMar>
                    <w:right w:w="29" w:type="dxa"/>
                  </w:tcMar>
                  <w:vAlign w:val="top"/>
                </w:tcPr>
                <w:p>
                  <w:pPr>
                    <w:keepNext/>
                    <w:jc w:val="center"/>
                  </w:pPr>
                  <w:r>
                    <w:t xml:space="preserve">-</w:t>
                  </w:r>
                </w:p>
              </w:tc>
              <w:tc>
                <w:tcPr>
                  <w:tcMar/>
                  <w:vAlign w:val="top"/>
                </w:tcPr>
                <w:p>
                  <w:hyperlink w:history="true" r:id="R74f3165a05034cd7">
                    <w:r>
                      <w:rPr>
                        <w:rStyle w:val="Hyperlink"/>
                      </w:rPr>
                      <w:t xml:space="preserve">Number of days of hospital-in-the-home care</w:t>
                    </w:r>
                  </w:hyperlink>
                </w:p>
              </w:tc>
              <w:tc>
                <w:tcPr>
                  <w:vAlign w:val="top"/>
                </w:tcPr>
                <w:p>
                  <w:r>
                    <w:t xml:space="preserve">270305</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94413d793d8c47cd">
                    <w:r>
                      <w:rPr>
                        <w:rStyle w:val="Hyperlink"/>
                      </w:rPr>
                      <w:t xml:space="preserve">Total leave days</w:t>
                    </w:r>
                  </w:hyperlink>
                </w:p>
              </w:tc>
              <w:tc>
                <w:tcPr>
                  <w:vAlign w:val="top"/>
                </w:tcPr>
                <w:p>
                  <w:r>
                    <w:t xml:space="preserve">270251</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39f9ae203bde418c">
                    <w:r>
                      <w:rPr>
                        <w:rStyle w:val="Hyperlink"/>
                      </w:rPr>
                      <w:t xml:space="preserve">Admitted patient election status</w:t>
                    </w:r>
                  </w:hyperlink>
                </w:p>
              </w:tc>
              <w:tc>
                <w:tcPr>
                  <w:vAlign w:val="top"/>
                </w:tcPr>
                <w:p>
                  <w:r>
                    <w:t xml:space="preserve">326619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bad9d9e9d1d647ab">
                    <w:r>
                      <w:rPr>
                        <w:rStyle w:val="Hyperlink"/>
                      </w:rPr>
                      <w:t xml:space="preserve">Procedure</w:t>
                    </w:r>
                  </w:hyperlink>
                </w:p>
              </w:tc>
              <w:tc>
                <w:tcPr>
                  <w:vAlign w:val="top"/>
                </w:tcPr>
                <w:p>
                  <w:r>
                    <w:t xml:space="preserve">333828</w:t>
                  </w:r>
                </w:p>
              </w:tc>
              <w:tc>
                <w:tcPr>
                  <w:vAlign w:val="top"/>
                </w:tcPr>
                <w:p>
                  <w:r>
                    <w:t xml:space="preserve">Number
[7]</w:t>
                  </w:r>
                </w:p>
              </w:tc>
              <w:tc>
                <w:tcPr>
                  <w:vAlign w:val="top"/>
                </w:tcPr>
                <w:p>
                  <w:r>
                    <w:t xml:space="preserve">NNNNN-NN</w:t>
                  </w:r>
                  <w:r>
                    <w:br/>
                  </w:r>
                  <w:r>
                    <w:t xml:space="preserve">The Australian Classification of Health Intervention (5th edition) code set representing procedures.</w:t>
                  </w:r>
                </w:p>
              </w:tc>
            </w:tr>
            <w:tr>
              <w:trPr/>
              <w:tc>
                <w:tcPr>
                  <w:tcMar>
                    <w:right w:w="29" w:type="dxa"/>
                  </w:tcMar>
                  <w:vAlign w:val="top"/>
                </w:tcPr>
                <w:p>
                  <w:pPr>
                    <w:keepNext/>
                    <w:jc w:val="center"/>
                  </w:pPr>
                  <w:r>
                    <w:t xml:space="preserve">-</w:t>
                  </w:r>
                </w:p>
              </w:tc>
              <w:tc>
                <w:tcPr>
                  <w:tcMar/>
                  <w:vAlign w:val="top"/>
                </w:tcPr>
                <w:p>
                  <w:hyperlink w:history="true" r:id="R0bd2826f89a84f38">
                    <w:r>
                      <w:rPr>
                        <w:rStyle w:val="Hyperlink"/>
                      </w:rPr>
                      <w:t xml:space="preserve">Source of referral to public psychiatric hospital</w:t>
                    </w:r>
                  </w:hyperlink>
                </w:p>
              </w:tc>
              <w:tc>
                <w:tcPr>
                  <w:vAlign w:val="top"/>
                </w:tcPr>
                <w:p>
                  <w:r>
                    <w:t xml:space="preserve">269947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Private psychiatric practice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Other private medical practice</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Other public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Other health care establishment</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Other private hospital</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Law enforcement agency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Other agency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Outpatient department</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6f54e04154874844">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a1e16d1c2c03470c">
                    <w:r>
                      <w:rPr>
                        <w:rStyle w:val="Hyperlink"/>
                      </w:rPr>
                      <w:t xml:space="preserve">Mode of separation</w:t>
                    </w:r>
                  </w:hyperlink>
                </w:p>
              </w:tc>
              <w:tc>
                <w:tcPr>
                  <w:vAlign w:val="top"/>
                </w:tcPr>
                <w:p>
                  <w:r>
                    <w:t xml:space="preserve">270094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Discharge/transfer to (an)other 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unless this is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Discharge/transfer to (an)other psychiatric hospital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Discharge/transfer to other health care accommodation (includes mothercraft hospitals)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Statistical discharge -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Left against medical advice/discharge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Statistical discharge from leave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(includes discharge to usual residence, own accommodation/welfare institution (includes prisons, hostels and group homes providing primarily welfare services))</w:t>
                        </w:r>
                      </w:p>
                    </w:tc>
                  </w:tr>
                </w:tbl>
                <w:p/>
              </w:tc>
            </w:tr>
            <w:tr>
              <w:trPr/>
              <w:tc>
                <w:tcPr>
                  <w:tcMar>
                    <w:right w:w="29" w:type="dxa"/>
                  </w:tcMar>
                  <w:vAlign w:val="top"/>
                </w:tcPr>
                <w:p>
                  <w:pPr>
                    <w:keepNext/>
                    <w:jc w:val="center"/>
                  </w:pPr>
                  <w:r>
                    <w:t xml:space="preserve">-</w:t>
                  </w:r>
                </w:p>
              </w:tc>
              <w:tc>
                <w:tcPr>
                  <w:tcMar/>
                  <w:vAlign w:val="top"/>
                </w:tcPr>
                <w:p>
                  <w:hyperlink w:history="true" r:id="R0329cf9cf63d467c">
                    <w:r>
                      <w:rPr>
                        <w:rStyle w:val="Hyperlink"/>
                      </w:rPr>
                      <w:t xml:space="preserve">Additional diagnosis</w:t>
                    </w:r>
                  </w:hyperlink>
                </w:p>
              </w:tc>
              <w:tc>
                <w:tcPr>
                  <w:vAlign w:val="top"/>
                </w:tcPr>
                <w:p>
                  <w:r>
                    <w:t xml:space="preserve">333832</w:t>
                  </w:r>
                </w:p>
              </w:tc>
              <w:tc>
                <w:tcPr>
                  <w:vAlign w:val="top"/>
                </w:tcPr>
                <w:p>
                  <w:r>
                    <w:t xml:space="preserve">String
[6]</w:t>
                  </w:r>
                </w:p>
              </w:tc>
              <w:tc>
                <w:tcPr>
                  <w:vAlign w:val="top"/>
                </w:tcPr>
                <w:p>
                  <w:r>
                    <w:t xml:space="preserve">ANN{.N[N]}</w:t>
                  </w:r>
                  <w:r>
                    <w:br/>
                  </w:r>
                  <w:r>
                    <w:t xml:space="preserve">The ICD-10-AM (5th edition) code set representing diagnoses.</w:t>
                  </w:r>
                </w:p>
              </w:tc>
            </w:tr>
            <w:tr>
              <w:trPr/>
              <w:tc>
                <w:tcPr>
                  <w:tcMar>
                    <w:right w:w="29" w:type="dxa"/>
                  </w:tcMar>
                  <w:vAlign w:val="top"/>
                </w:tcPr>
                <w:p>
                  <w:pPr>
                    <w:keepNext/>
                    <w:jc w:val="center"/>
                  </w:pPr>
                  <w:r>
                    <w:t xml:space="preserve">-</w:t>
                  </w:r>
                </w:p>
              </w:tc>
              <w:tc>
                <w:tcPr>
                  <w:tcMar/>
                  <w:vAlign w:val="top"/>
                </w:tcPr>
                <w:p>
                  <w:hyperlink w:history="true" r:id="R5c73c249377e491b">
                    <w:r>
                      <w:rPr>
                        <w:rStyle w:val="Hyperlink"/>
                      </w:rPr>
                      <w:t xml:space="preserve">Inter-hospital contracted patient</w:t>
                    </w:r>
                  </w:hyperlink>
                </w:p>
              </w:tc>
              <w:tc>
                <w:tcPr>
                  <w:vAlign w:val="top"/>
                </w:tcPr>
                <w:p>
                  <w:r>
                    <w:t xml:space="preserve">270409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Inter-hospital contracted patient from public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Inter-hospital contracted patient from private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contracted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w:t>
                        </w:r>
                      </w:p>
                    </w:tc>
                  </w:tr>
                </w:tbl>
                <w:p/>
              </w:tc>
            </w:tr>
            <w:tr>
              <w:trPr/>
              <w:tc>
                <w:tcPr>
                  <w:tcMar>
                    <w:right w:w="29" w:type="dxa"/>
                  </w:tcMar>
                  <w:vAlign w:val="top"/>
                </w:tcPr>
                <w:p>
                  <w:pPr>
                    <w:keepNext/>
                    <w:jc w:val="center"/>
                  </w:pPr>
                  <w:r>
                    <w:t xml:space="preserve">-</w:t>
                  </w:r>
                </w:p>
              </w:tc>
              <w:tc>
                <w:tcPr>
                  <w:tcMar/>
                  <w:vAlign w:val="top"/>
                </w:tcPr>
                <w:p>
                  <w:hyperlink w:history="true" r:id="Re345f0bf715d46fb">
                    <w:r>
                      <w:rPr>
                        <w:rStyle w:val="Hyperlink"/>
                      </w:rPr>
                      <w:t xml:space="preserve">Mental health legal status</w:t>
                    </w:r>
                  </w:hyperlink>
                </w:p>
              </w:tc>
              <w:tc>
                <w:tcPr>
                  <w:vAlign w:val="top"/>
                </w:tcPr>
                <w:p>
                  <w:r>
                    <w:t xml:space="preserve">270351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permitted to be reported under legislative arrangements in the jurisdiction</w:t>
                        </w:r>
                      </w:p>
                    </w:tc>
                  </w:tr>
                </w:tbl>
                <w:p/>
              </w:tc>
            </w:tr>
            <w:tr>
              <w:trPr/>
              <w:tc>
                <w:tcPr>
                  <w:tcMar>
                    <w:right w:w="29" w:type="dxa"/>
                  </w:tcMar>
                  <w:vAlign w:val="top"/>
                </w:tcPr>
                <w:p>
                  <w:pPr>
                    <w:keepNext/>
                    <w:jc w:val="center"/>
                  </w:pPr>
                  <w:r>
                    <w:t xml:space="preserve">-</w:t>
                  </w:r>
                </w:p>
              </w:tc>
              <w:tc>
                <w:tcPr>
                  <w:tcMar/>
                  <w:vAlign w:val="top"/>
                </w:tcPr>
                <w:p>
                  <w:hyperlink w:history="true" r:id="Rb67e1b8ecba642a4">
                    <w:r>
                      <w:rPr>
                        <w:rStyle w:val="Hyperlink"/>
                      </w:rPr>
                      <w:t xml:space="preserve">Total psychiatric care days</w:t>
                    </w:r>
                  </w:hyperlink>
                </w:p>
              </w:tc>
              <w:tc>
                <w:tcPr>
                  <w:vAlign w:val="top"/>
                </w:tcPr>
                <w:p>
                  <w:r>
                    <w:t xml:space="preserve">270300</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b3b531887e6c4dc6">
                    <w:r>
                      <w:rPr>
                        <w:rStyle w:val="Hyperlink"/>
                      </w:rPr>
                      <w:t xml:space="preserve">Principal diagnosis</w:t>
                    </w:r>
                  </w:hyperlink>
                </w:p>
              </w:tc>
              <w:tc>
                <w:tcPr>
                  <w:vAlign w:val="top"/>
                </w:tcPr>
                <w:p>
                  <w:r>
                    <w:t xml:space="preserve">333838</w:t>
                  </w:r>
                </w:p>
              </w:tc>
              <w:tc>
                <w:tcPr>
                  <w:vAlign w:val="top"/>
                </w:tcPr>
                <w:p>
                  <w:r>
                    <w:t xml:space="preserve">String
[6]</w:t>
                  </w:r>
                </w:p>
              </w:tc>
              <w:tc>
                <w:tcPr>
                  <w:vAlign w:val="top"/>
                </w:tcPr>
                <w:p>
                  <w:r>
                    <w:t xml:space="preserve">ANN{.N[N]}</w:t>
                  </w:r>
                  <w:r>
                    <w:br/>
                  </w:r>
                  <w:r>
                    <w:t xml:space="preserve">The ICD-10-AM (5th edition) code set representing diagnoses.</w:t>
                  </w:r>
                </w:p>
              </w:tc>
            </w:tr>
            <w:tr>
              <w:trPr/>
              <w:tc>
                <w:tcPr>
                  <w:tcMar>
                    <w:right w:w="29" w:type="dxa"/>
                  </w:tcMar>
                  <w:vAlign w:val="top"/>
                </w:tcPr>
                <w:p>
                  <w:pPr>
                    <w:keepNext/>
                    <w:jc w:val="center"/>
                  </w:pPr>
                  <w:r>
                    <w:t xml:space="preserve">-</w:t>
                  </w:r>
                </w:p>
              </w:tc>
              <w:tc>
                <w:tcPr>
                  <w:tcMar/>
                  <w:vAlign w:val="top"/>
                </w:tcPr>
                <w:p>
                  <w:hyperlink w:history="true" r:id="R5ef32fd439244152">
                    <w:r>
                      <w:rPr>
                        <w:rStyle w:val="Hyperlink"/>
                      </w:rPr>
                      <w:t xml:space="preserve">Funding source for hospital patient</w:t>
                    </w:r>
                  </w:hyperlink>
                </w:p>
              </w:tc>
              <w:tc>
                <w:tcPr>
                  <w:vAlign w:val="top"/>
                </w:tcPr>
                <w:p>
                  <w:r>
                    <w:t xml:space="preserve">339080</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Australian Health Care Agreements</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Self-funded</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Motor vehicle third party personal claim</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Department of Defence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hospital or public authority (contracted care)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Reciprocal health care agreements (with other countries)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No charge raised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w:t>
                  </w:r>
                </w:p>
              </w:tc>
              <w:tc>
                <w:tcPr>
                  <w:tcMar/>
                  <w:vAlign w:val="top"/>
                </w:tcPr>
                <w:p>
                  <w:hyperlink w:history="true" r:id="R3294754979fc4329">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dc8bc270e0574d26">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e15558e6c4c94160">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7b381e42cfe24c2f">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76b7aaa036f144a2">
                    <w:r>
                      <w:rPr>
                        <w:rStyle w:val="Hyperlink"/>
                      </w:rPr>
                      <w:t xml:space="preserve">Care type</w:t>
                    </w:r>
                  </w:hyperlink>
                </w:p>
              </w:tc>
              <w:tc>
                <w:tcPr>
                  <w:vAlign w:val="top"/>
                </w:tcPr>
                <w:p>
                  <w:r>
                    <w:t xml:space="preserve">270174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Acute care (Admitted care)</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Rehabilitation care (Admitted care)</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Rehabilitation care delivered in a designated unit (optional)</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Rehabilitation care according to a designated program (optional)</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Rehabilitation care is the principal clinical intent (optional)</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Palliative care delivered in a designated unit (optional)</w:t>
                        </w:r>
                      </w:p>
                    </w:tc>
                  </w:tr>
                  <w:tr>
                    <w:trPr/>
                    <w:tc>
                      <w:tcPr>
                        <w:tcW w:w="1000" w:type="pct"/>
                        <w:tcBorders>
                          <w:top w:val="none" w:color="000000" w:sz="0"/>
                          <w:left w:val="none" w:color="000000" w:sz="0"/>
                          <w:bottom w:val="none" w:color="000000" w:sz="0"/>
                          <w:right w:val="none" w:color="000000" w:sz="0"/>
                        </w:tcBorders>
                        <w:tcMar/>
                        <w:vAlign w:val="top"/>
                      </w:tcPr>
                      <w:p>
                        <w:r>
                          <w:t xml:space="preserve">3.2 </w:t>
                        </w:r>
                      </w:p>
                    </w:tc>
                    <w:tc>
                      <w:tcPr>
                        <w:tcBorders>
                          <w:top w:val="none" w:color="000000" w:sz="0"/>
                          <w:left w:val="none" w:color="000000" w:sz="0"/>
                          <w:bottom w:val="none" w:color="000000" w:sz="0"/>
                          <w:right w:val="none" w:color="000000" w:sz="0"/>
                        </w:tcBorders>
                        <w:tcMar/>
                        <w:vAlign w:val="top"/>
                      </w:tcPr>
                      <w:p>
                        <w:r>
                          <w:t xml:space="preserve">Palliative care according to a designated program (optional)</w:t>
                        </w:r>
                      </w:p>
                    </w:tc>
                  </w:tr>
                  <w:tr>
                    <w:trPr/>
                    <w:tc>
                      <w:tcPr>
                        <w:tcW w:w="1000" w:type="pct"/>
                        <w:tcBorders>
                          <w:top w:val="none" w:color="000000" w:sz="0"/>
                          <w:left w:val="none" w:color="000000" w:sz="0"/>
                          <w:bottom w:val="none" w:color="000000" w:sz="0"/>
                          <w:right w:val="none" w:color="000000" w:sz="0"/>
                        </w:tcBorders>
                        <w:tcMar/>
                        <w:vAlign w:val="top"/>
                      </w:tcPr>
                      <w:p>
                        <w:r>
                          <w:t xml:space="preserve">3.3 </w:t>
                        </w:r>
                      </w:p>
                    </w:tc>
                    <w:tc>
                      <w:tcPr>
                        <w:tcBorders>
                          <w:top w:val="none" w:color="000000" w:sz="0"/>
                          <w:left w:val="none" w:color="000000" w:sz="0"/>
                          <w:bottom w:val="none" w:color="000000" w:sz="0"/>
                          <w:right w:val="none" w:color="000000" w:sz="0"/>
                        </w:tcBorders>
                        <w:tcMar/>
                        <w:vAlign w:val="top"/>
                      </w:tcPr>
                      <w:p>
                        <w:r>
                          <w:t xml:space="preserve">Palliative care is the principal clinical intent (optional)</w:t>
                        </w:r>
                      </w:p>
                    </w:tc>
                  </w:tr>
                  <w:tr>
                    <w:trPr/>
                    <w:tc>
                      <w:tcPr>
                        <w:tcW w:w="1000" w:type="pct"/>
                        <w:tcBorders>
                          <w:top w:val="none" w:color="000000" w:sz="0"/>
                          <w:left w:val="none" w:color="000000" w:sz="0"/>
                          <w:bottom w:val="none" w:color="000000" w:sz="0"/>
                          <w:right w:val="none" w:color="000000" w:sz="0"/>
                        </w:tcBorders>
                        <w:tcMar/>
                        <w:vAlign w:val="top"/>
                      </w:tcPr>
                      <w:p>
                        <w:r>
                          <w:t xml:space="preserve">4.0 </w:t>
                        </w:r>
                      </w:p>
                    </w:tc>
                    <w:tc>
                      <w:tcPr>
                        <w:tcBorders>
                          <w:top w:val="none" w:color="000000" w:sz="0"/>
                          <w:left w:val="none" w:color="000000" w:sz="0"/>
                          <w:bottom w:val="none" w:color="000000" w:sz="0"/>
                          <w:right w:val="none" w:color="000000" w:sz="0"/>
                        </w:tcBorders>
                        <w:tcMar/>
                        <w:vAlign w:val="top"/>
                      </w:tcPr>
                      <w:p>
                        <w:r>
                          <w:t xml:space="preserve">Geriatric evaluation and management</w:t>
                        </w:r>
                      </w:p>
                    </w:tc>
                  </w:tr>
                  <w:tr>
                    <w:trPr/>
                    <w:tc>
                      <w:tcPr>
                        <w:tcW w:w="1000" w:type="pct"/>
                        <w:tcBorders>
                          <w:top w:val="none" w:color="000000" w:sz="0"/>
                          <w:left w:val="none" w:color="000000" w:sz="0"/>
                          <w:bottom w:val="none" w:color="000000" w:sz="0"/>
                          <w:right w:val="none" w:color="000000" w:sz="0"/>
                        </w:tcBorders>
                        <w:tcMar/>
                        <w:vAlign w:val="top"/>
                      </w:tcPr>
                      <w:p>
                        <w:r>
                          <w:t xml:space="preserve">5.0 </w:t>
                        </w:r>
                      </w:p>
                    </w:tc>
                    <w:tc>
                      <w:tcPr>
                        <w:tcBorders>
                          <w:top w:val="none" w:color="000000" w:sz="0"/>
                          <w:left w:val="none" w:color="000000" w:sz="0"/>
                          <w:bottom w:val="none" w:color="000000" w:sz="0"/>
                          <w:right w:val="none" w:color="000000" w:sz="0"/>
                        </w:tcBorders>
                        <w:tcMar/>
                        <w:vAlign w:val="top"/>
                      </w:tcPr>
                      <w:p>
                        <w:r>
                          <w:t xml:space="preserve">Psychogeriatric care</w:t>
                        </w:r>
                      </w:p>
                    </w:tc>
                  </w:tr>
                  <w:tr>
                    <w:trPr/>
                    <w:tc>
                      <w:tcPr>
                        <w:tcW w:w="1000" w:type="pct"/>
                        <w:tcBorders>
                          <w:top w:val="none" w:color="000000" w:sz="0"/>
                          <w:left w:val="none" w:color="000000" w:sz="0"/>
                          <w:bottom w:val="none" w:color="000000" w:sz="0"/>
                          <w:right w:val="none" w:color="000000" w:sz="0"/>
                        </w:tcBorders>
                        <w:tcMar/>
                        <w:vAlign w:val="top"/>
                      </w:tcPr>
                      <w:p>
                        <w:r>
                          <w:t xml:space="preserve">6.0 </w:t>
                        </w:r>
                      </w:p>
                    </w:tc>
                    <w:tc>
                      <w:tcPr>
                        <w:tcBorders>
                          <w:top w:val="none" w:color="000000" w:sz="0"/>
                          <w:left w:val="none" w:color="000000" w:sz="0"/>
                          <w:bottom w:val="none" w:color="000000" w:sz="0"/>
                          <w:right w:val="none" w:color="000000" w:sz="0"/>
                        </w:tcBorders>
                        <w:tcMar/>
                        <w:vAlign w:val="top"/>
                      </w:tcPr>
                      <w:p>
                        <w:r>
                          <w:t xml:space="preserve">Maintenance care</w:t>
                        </w:r>
                      </w:p>
                    </w:tc>
                  </w:tr>
                  <w:tr>
                    <w:trPr/>
                    <w:tc>
                      <w:tcPr>
                        <w:tcW w:w="1000" w:type="pct"/>
                        <w:tcBorders>
                          <w:top w:val="none" w:color="000000" w:sz="0"/>
                          <w:left w:val="none" w:color="000000" w:sz="0"/>
                          <w:bottom w:val="none" w:color="000000" w:sz="0"/>
                          <w:right w:val="none" w:color="000000" w:sz="0"/>
                        </w:tcBorders>
                        <w:tcMar/>
                        <w:vAlign w:val="top"/>
                      </w:tcPr>
                      <w:p>
                        <w:r>
                          <w:t xml:space="preserve">7.0 </w:t>
                        </w:r>
                      </w:p>
                    </w:tc>
                    <w:tc>
                      <w:tcPr>
                        <w:tcBorders>
                          <w:top w:val="none" w:color="000000" w:sz="0"/>
                          <w:left w:val="none" w:color="000000" w:sz="0"/>
                          <w:bottom w:val="none" w:color="000000" w:sz="0"/>
                          <w:right w:val="none" w:color="000000" w:sz="0"/>
                        </w:tcBorders>
                        <w:tcMar/>
                        <w:vAlign w:val="top"/>
                      </w:tcPr>
                      <w:p>
                        <w:r>
                          <w:t xml:space="preserve">Newborn care</w:t>
                        </w:r>
                      </w:p>
                    </w:tc>
                  </w:tr>
                  <w:tr>
                    <w:trPr/>
                    <w:tc>
                      <w:tcPr>
                        <w:tcW w:w="1000" w:type="pct"/>
                        <w:tcBorders>
                          <w:top w:val="none" w:color="000000" w:sz="0"/>
                          <w:left w:val="none" w:color="000000" w:sz="0"/>
                          <w:bottom w:val="none" w:color="000000" w:sz="0"/>
                          <w:right w:val="none" w:color="000000" w:sz="0"/>
                        </w:tcBorders>
                        <w:tcMar/>
                        <w:vAlign w:val="top"/>
                      </w:tcPr>
                      <w:p>
                        <w:r>
                          <w:t xml:space="preserve">8.0 </w:t>
                        </w:r>
                      </w:p>
                    </w:tc>
                    <w:tc>
                      <w:tcPr>
                        <w:tcBorders>
                          <w:top w:val="none" w:color="000000" w:sz="0"/>
                          <w:left w:val="none" w:color="000000" w:sz="0"/>
                          <w:bottom w:val="none" w:color="000000" w:sz="0"/>
                          <w:right w:val="none" w:color="000000" w:sz="0"/>
                        </w:tcBorders>
                        <w:tcMar/>
                        <w:vAlign w:val="top"/>
                      </w:tcPr>
                      <w:p>
                        <w:r>
                          <w:t xml:space="preserve">Other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Organ procurement - posthumous (Other care)</w:t>
                        </w:r>
                      </w:p>
                    </w:tc>
                  </w:tr>
                  <w:tr>
                    <w:trPr/>
                    <w:tc>
                      <w:tcPr>
                        <w:tcW w:w="1000" w:type="pct"/>
                        <w:tcBorders>
                          <w:top w:val="none" w:color="000000" w:sz="0"/>
                          <w:left w:val="none" w:color="000000" w:sz="0"/>
                          <w:bottom w:val="none" w:color="000000" w:sz="0"/>
                          <w:right w:val="none" w:color="000000" w:sz="0"/>
                        </w:tcBorders>
                        <w:tcMar/>
                        <w:vAlign w:val="top"/>
                      </w:tcPr>
                      <w:p>
                        <w:r>
                          <w:t xml:space="preserve">10.0 </w:t>
                        </w:r>
                      </w:p>
                    </w:tc>
                    <w:tc>
                      <w:tcPr>
                        <w:tcBorders>
                          <w:top w:val="none" w:color="000000" w:sz="0"/>
                          <w:left w:val="none" w:color="000000" w:sz="0"/>
                          <w:bottom w:val="none" w:color="000000" w:sz="0"/>
                          <w:right w:val="none" w:color="000000" w:sz="0"/>
                        </w:tcBorders>
                        <w:tcMar/>
                        <w:vAlign w:val="top"/>
                      </w:tcPr>
                      <w:p>
                        <w:r>
                          <w:t xml:space="preserve">Hospital boarder (Other care)</w:t>
                        </w:r>
                      </w:p>
                    </w:tc>
                  </w:tr>
                </w:tbl>
                <w:p/>
              </w:tc>
            </w:tr>
            <w:tr>
              <w:trPr/>
              <w:tc>
                <w:tcPr>
                  <w:tcMar>
                    <w:right w:w="29" w:type="dxa"/>
                  </w:tcMar>
                  <w:vAlign w:val="top"/>
                </w:tcPr>
                <w:p>
                  <w:pPr>
                    <w:keepNext/>
                    <w:jc w:val="center"/>
                  </w:pPr>
                  <w:r>
                    <w:t xml:space="preserve">-</w:t>
                  </w:r>
                </w:p>
              </w:tc>
              <w:tc>
                <w:tcPr>
                  <w:tcMar/>
                  <w:vAlign w:val="top"/>
                </w:tcPr>
                <w:p>
                  <w:hyperlink w:history="true" r:id="Rdc71c96133354275">
                    <w:r>
                      <w:rPr>
                        <w:rStyle w:val="Hyperlink"/>
                      </w:rPr>
                      <w:t xml:space="preserve">Activity when injured</w:t>
                    </w:r>
                  </w:hyperlink>
                </w:p>
              </w:tc>
              <w:tc>
                <w:tcPr>
                  <w:vAlign w:val="top"/>
                </w:tcPr>
                <w:p>
                  <w:r>
                    <w:t xml:space="preserve">333849</w:t>
                  </w:r>
                </w:p>
              </w:tc>
              <w:tc>
                <w:tcPr>
                  <w:vAlign w:val="top"/>
                </w:tcPr>
                <w:p>
                  <w:r>
                    <w:t xml:space="preserve">String
[5]</w:t>
                  </w:r>
                </w:p>
              </w:tc>
              <w:tc>
                <w:tcPr>
                  <w:vAlign w:val="top"/>
                </w:tcPr>
                <w:p>
                  <w:r>
                    <w:t xml:space="preserve">ANNNN</w:t>
                  </w:r>
                  <w:r>
                    <w:br/>
                  </w:r>
                </w:p>
                <w:p>
                  <w:r>
                    <w:t xml:space="preserve">The ICD-10-AM (5th edition) code set representing the type of activity being undertaken when injured.</w:t>
                  </w:r>
                </w:p>
              </w:tc>
            </w:tr>
            <w:tr>
              <w:trPr/>
              <w:tc>
                <w:tcPr>
                  <w:tcMar>
                    <w:right w:w="29" w:type="dxa"/>
                  </w:tcMar>
                  <w:vAlign w:val="top"/>
                </w:tcPr>
                <w:p>
                  <w:pPr>
                    <w:keepNext/>
                    <w:jc w:val="center"/>
                  </w:pPr>
                  <w:r>
                    <w:t xml:space="preserve">-</w:t>
                  </w:r>
                </w:p>
              </w:tc>
              <w:tc>
                <w:tcPr>
                  <w:tcMar/>
                  <w:vAlign w:val="top"/>
                </w:tcPr>
                <w:p>
                  <w:hyperlink w:history="true" r:id="R4ce682e900ca4ddc">
                    <w:r>
                      <w:rPr>
                        <w:rStyle w:val="Hyperlink"/>
                      </w:rPr>
                      <w:t xml:space="preserve">External cause (admitted patient)</w:t>
                    </w:r>
                  </w:hyperlink>
                </w:p>
              </w:tc>
              <w:tc>
                <w:tcPr>
                  <w:vAlign w:val="top"/>
                </w:tcPr>
                <w:p>
                  <w:r>
                    <w:t xml:space="preserve">333853</w:t>
                  </w:r>
                </w:p>
              </w:tc>
              <w:tc>
                <w:tcPr>
                  <w:vAlign w:val="top"/>
                </w:tcPr>
                <w:p>
                  <w:r>
                    <w:t xml:space="preserve">String
[6]</w:t>
                  </w:r>
                </w:p>
              </w:tc>
              <w:tc>
                <w:tcPr>
                  <w:vAlign w:val="top"/>
                </w:tcPr>
                <w:p>
                  <w:r>
                    <w:t xml:space="preserve">ANN{.N[N]}</w:t>
                  </w:r>
                  <w:r>
                    <w:br/>
                  </w:r>
                </w:p>
                <w:p>
                  <w:r>
                    <w:t xml:space="preserve">The ICD-10-AM (5th edition) code set representing external cause of injury, poisoning or other adverse effect.</w:t>
                  </w:r>
                </w:p>
              </w:tc>
            </w:tr>
            <w:tr>
              <w:trPr/>
              <w:tc>
                <w:tcPr>
                  <w:tcMar>
                    <w:right w:w="29" w:type="dxa"/>
                  </w:tcMar>
                  <w:vAlign w:val="top"/>
                </w:tcPr>
                <w:p>
                  <w:pPr>
                    <w:keepNext/>
                    <w:jc w:val="center"/>
                  </w:pPr>
                  <w:r>
                    <w:t xml:space="preserve">-</w:t>
                  </w:r>
                </w:p>
              </w:tc>
              <w:tc>
                <w:tcPr>
                  <w:tcMar/>
                  <w:vAlign w:val="top"/>
                </w:tcPr>
                <w:p>
                  <w:hyperlink w:history="true" r:id="R338ebdb4065246a1">
                    <w:r>
                      <w:rPr>
                        <w:rStyle w:val="Hyperlink"/>
                      </w:rPr>
                      <w:t xml:space="preserve">Place of occurrence of external cause of injury (ICD-10-AM)</w:t>
                    </w:r>
                  </w:hyperlink>
                </w:p>
              </w:tc>
              <w:tc>
                <w:tcPr>
                  <w:vAlign w:val="top"/>
                </w:tcPr>
                <w:p>
                  <w:r>
                    <w:t xml:space="preserve">333874</w:t>
                  </w:r>
                </w:p>
              </w:tc>
              <w:tc>
                <w:tcPr>
                  <w:vAlign w:val="top"/>
                </w:tcPr>
                <w:p>
                  <w:r>
                    <w:t xml:space="preserve">String
[6]</w:t>
                  </w:r>
                </w:p>
              </w:tc>
              <w:tc>
                <w:tcPr>
                  <w:vAlign w:val="top"/>
                </w:tcPr>
                <w:p>
                  <w:r>
                    <w:t xml:space="preserve">ANN{.N[N]}</w:t>
                  </w:r>
                  <w:r>
                    <w:br/>
                  </w:r>
                </w:p>
                <w:p>
                  <w:r>
                    <w:t xml:space="preserve">The ICD-10-AM (5th edition) code set representing the place where the external cause of injury, poisoning or other adverse effect occurred.</w:t>
                  </w:r>
                </w:p>
              </w:tc>
            </w:tr>
            <w:tr>
              <w:trPr/>
              <w:tc>
                <w:tcPr>
                  <w:tcMar>
                    <w:right w:w="29" w:type="dxa"/>
                  </w:tcMar>
                  <w:vAlign w:val="top"/>
                </w:tcPr>
                <w:p>
                  <w:pPr>
                    <w:keepNext/>
                    <w:jc w:val="center"/>
                  </w:pPr>
                  <w:r>
                    <w:t xml:space="preserve">-</w:t>
                  </w:r>
                </w:p>
              </w:tc>
              <w:tc>
                <w:tcPr>
                  <w:tcMar/>
                  <w:vAlign w:val="top"/>
                </w:tcPr>
                <w:p>
                  <w:hyperlink w:history="true" r:id="Rb6df2801f6e047ea">
                    <w:r>
                      <w:rPr>
                        <w:rStyle w:val="Hyperlink"/>
                      </w:rPr>
                      <w:t xml:space="preserve">Hospital insurance status</w:t>
                    </w:r>
                  </w:hyperlink>
                </w:p>
              </w:tc>
              <w:tc>
                <w:tcPr>
                  <w:vAlign w:val="top"/>
                </w:tcPr>
                <w:p>
                  <w:r>
                    <w:t xml:space="preserve">270253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 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19cd2b5e308b4e50">
                    <w:r>
                      <w:rPr>
                        <w:rStyle w:val="Hyperlink"/>
                      </w:rPr>
                      <w:t xml:space="preserve">Area of usual residence</w:t>
                    </w:r>
                  </w:hyperlink>
                </w:p>
              </w:tc>
              <w:tc>
                <w:tcPr>
                  <w:vAlign w:val="top"/>
                </w:tcPr>
                <w:p>
                  <w:r>
                    <w:t xml:space="preserve">341800</w:t>
                  </w:r>
                </w:p>
              </w:tc>
              <w:tc>
                <w:tcPr>
                  <w:vAlign w:val="top"/>
                </w:tcPr>
                <w:p>
                  <w:r>
                    <w:t xml:space="preserve">Number
[5]</w:t>
                  </w:r>
                </w:p>
              </w:tc>
              <w:tc>
                <w:tcPr>
                  <w:vAlign w:val="top"/>
                </w:tcPr>
                <w:p>
                  <w:r>
                    <w:t xml:space="preserve">NNNNN</w:t>
                  </w:r>
                  <w:r>
                    <w:br/>
                  </w:r>
                </w:p>
                <w:p>
                  <w:r>
                    <w:t xml:space="preserve">The ASGC (2006)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c48b03bcc4c44c6a">
                    <w:r>
                      <w:rPr>
                        <w:rStyle w:val="Hyperlink"/>
                      </w:rPr>
                      <w:t xml:space="preserve">Country of birth</w:t>
                    </w:r>
                  </w:hyperlink>
                </w:p>
              </w:tc>
              <w:tc>
                <w:tcPr>
                  <w:vAlign w:val="top"/>
                </w:tcPr>
                <w:p>
                  <w:r>
                    <w:t xml:space="preserve">270277</w:t>
                  </w:r>
                </w:p>
              </w:tc>
              <w:tc>
                <w:tcPr>
                  <w:vAlign w:val="top"/>
                </w:tcPr>
                <w:p>
                  <w:r>
                    <w:t xml:space="preserve">Number
[4]</w:t>
                  </w:r>
                </w:p>
              </w:tc>
              <w:tc>
                <w:tcPr>
                  <w:vAlign w:val="top"/>
                </w:tcPr>
                <w:p>
                  <w:r>
                    <w:t xml:space="preserve">NNNN</w:t>
                  </w:r>
                  <w:r>
                    <w:br/>
                  </w:r>
                  <w:r>
                    <w:t xml:space="preserve">A SACC code set representing a country.</w:t>
                  </w:r>
                </w:p>
              </w:tc>
            </w:tr>
            <w:tr>
              <w:trPr/>
              <w:tc>
                <w:tcPr>
                  <w:tcMar>
                    <w:right w:w="29" w:type="dxa"/>
                  </w:tcMar>
                  <w:vAlign w:val="top"/>
                </w:tcPr>
                <w:p>
                  <w:pPr>
                    <w:keepNext/>
                    <w:jc w:val="center"/>
                  </w:pPr>
                  <w:r>
                    <w:t xml:space="preserve">-</w:t>
                  </w:r>
                </w:p>
              </w:tc>
              <w:tc>
                <w:tcPr>
                  <w:tcMar/>
                  <w:vAlign w:val="top"/>
                </w:tcPr>
                <w:p>
                  <w:hyperlink w:history="true" r:id="Rbe7a41b0c086470b">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508b1f2d87514724">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e2420be12734a76">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6b111400ae234205">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ce571ebd0ad4547">
                    <w:r>
                      <w:rPr>
                        <w:rStyle w:val="Hyperlink"/>
                      </w:rPr>
                      <w:t xml:space="preserve">Weight in grams (measured)</w:t>
                    </w:r>
                  </w:hyperlink>
                </w:p>
              </w:tc>
              <w:tc>
                <w:tcPr>
                  <w:vAlign w:val="top"/>
                </w:tcPr>
                <w:p>
                  <w:r>
                    <w:t xml:space="preserve">310245</w:t>
                  </w:r>
                </w:p>
              </w:tc>
              <w:tc>
                <w:tcPr>
                  <w:vAlign w:val="top"/>
                </w:tcPr>
                <w:p>
                  <w:r>
                    <w:t xml:space="preserve">Number
[4]</w:t>
                  </w:r>
                </w:p>
              </w:tc>
              <w:tc>
                <w:tcPr>
                  <w:vAlign w:val="top"/>
                </w:tcPr>
                <w:p>
                  <w:r>
                    <w:t xml:space="preserve">NNNN</w:t>
                  </w:r>
                  <w:r>
                    <w:br/>
                  </w:r>
                  <w:r>
                    <w:t xml:space="preserve">Total number of grams.</w:t>
                  </w:r>
                </w:p>
              </w:tc>
            </w:tr>
          </w:tbl>
          <w:p/>
        </w:tc>
      </w:tr>
    </w:tbl>
    <w:p>
      <w:r>
        <w:br/>
      </w:r>
    </w:p>
    <w:sectPr>
      <w:footerReference xmlns:r="http://schemas.openxmlformats.org/officeDocument/2006/relationships" w:type="default" r:id="R88b00e91b8e34d13"/>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339089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bc83b120c347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b00e91b8e34d13" /><Relationship Type="http://schemas.openxmlformats.org/officeDocument/2006/relationships/header" Target="/word/header1.xml" Id="Refba2f7803504598" /><Relationship Type="http://schemas.openxmlformats.org/officeDocument/2006/relationships/settings" Target="/word/settings.xml" Id="R49b99f4672fe4181" /><Relationship Type="http://schemas.openxmlformats.org/officeDocument/2006/relationships/styles" Target="/word/styles.xml" Id="R14d14b0485e54ef9" /><Relationship Type="http://schemas.openxmlformats.org/officeDocument/2006/relationships/hyperlink" Target="https://meteor-uat.aihw.gov.au/content/270033" TargetMode="External" Id="R70a7e65b59ef4ebd" /><Relationship Type="http://schemas.openxmlformats.org/officeDocument/2006/relationships/hyperlink" Target="https://meteor-uat.aihw.gov.au/content/269967" TargetMode="External" Id="R0698958507cc4664" /><Relationship Type="http://schemas.openxmlformats.org/officeDocument/2006/relationships/hyperlink" Target="https://meteor-uat.aihw.gov.au/content/269976" TargetMode="External" Id="R13e46bbde17d4d84" /><Relationship Type="http://schemas.openxmlformats.org/officeDocument/2006/relationships/hyperlink" Target="https://meteor-uat.aihw.gov.au/content/269986" TargetMode="External" Id="Ra82cb3fab9164f90" /><Relationship Type="http://schemas.openxmlformats.org/officeDocument/2006/relationships/hyperlink" Target="https://meteor-uat.aihw.gov.au/content/270195" TargetMode="External" Id="Reddfe2ce4f854b98" /><Relationship Type="http://schemas.openxmlformats.org/officeDocument/2006/relationships/hyperlink" Target="https://meteor-uat.aihw.gov.au/content/270399" TargetMode="External" Id="Rb87fcca3e8464c67" /><Relationship Type="http://schemas.openxmlformats.org/officeDocument/2006/relationships/hyperlink" Target="https://meteor-uat.aihw.gov.au/content/270400" TargetMode="External" Id="R8705a8f60afc4401" /><Relationship Type="http://schemas.openxmlformats.org/officeDocument/2006/relationships/hyperlink" Target="https://meteor-uat.aihw.gov.au/content/270305" TargetMode="External" Id="R74f3165a05034cd7" /><Relationship Type="http://schemas.openxmlformats.org/officeDocument/2006/relationships/hyperlink" Target="https://meteor-uat.aihw.gov.au/content/270251" TargetMode="External" Id="R94413d793d8c47cd" /><Relationship Type="http://schemas.openxmlformats.org/officeDocument/2006/relationships/hyperlink" Target="https://meteor-uat.aihw.gov.au/content/326619" TargetMode="External" Id="R39f9ae203bde418c" /><Relationship Type="http://schemas.openxmlformats.org/officeDocument/2006/relationships/hyperlink" Target="https://meteor-uat.aihw.gov.au/content/333828" TargetMode="External" Id="Rbad9d9e9d1d647ab" /><Relationship Type="http://schemas.openxmlformats.org/officeDocument/2006/relationships/hyperlink" Target="https://meteor-uat.aihw.gov.au/content/269947" TargetMode="External" Id="R0bd2826f89a84f38" /><Relationship Type="http://schemas.openxmlformats.org/officeDocument/2006/relationships/hyperlink" Target="https://meteor-uat.aihw.gov.au/content/270025" TargetMode="External" Id="R6f54e04154874844" /><Relationship Type="http://schemas.openxmlformats.org/officeDocument/2006/relationships/hyperlink" Target="https://meteor-uat.aihw.gov.au/content/270094" TargetMode="External" Id="Ra1e16d1c2c03470c" /><Relationship Type="http://schemas.openxmlformats.org/officeDocument/2006/relationships/hyperlink" Target="https://meteor-uat.aihw.gov.au/content/333832" TargetMode="External" Id="R0329cf9cf63d467c" /><Relationship Type="http://schemas.openxmlformats.org/officeDocument/2006/relationships/hyperlink" Target="https://meteor-uat.aihw.gov.au/content/270409" TargetMode="External" Id="R5c73c249377e491b" /><Relationship Type="http://schemas.openxmlformats.org/officeDocument/2006/relationships/hyperlink" Target="https://meteor-uat.aihw.gov.au/content/270351" TargetMode="External" Id="Re345f0bf715d46fb" /><Relationship Type="http://schemas.openxmlformats.org/officeDocument/2006/relationships/hyperlink" Target="https://meteor-uat.aihw.gov.au/content/270300" TargetMode="External" Id="Rb67e1b8ecba642a4" /><Relationship Type="http://schemas.openxmlformats.org/officeDocument/2006/relationships/hyperlink" Target="https://meteor-uat.aihw.gov.au/content/333838" TargetMode="External" Id="Rb3b531887e6c4dc6" /><Relationship Type="http://schemas.openxmlformats.org/officeDocument/2006/relationships/hyperlink" Target="https://meteor-uat.aihw.gov.au/content/339080" TargetMode="External" Id="R5ef32fd439244152" /><Relationship Type="http://schemas.openxmlformats.org/officeDocument/2006/relationships/hyperlink" Target="https://meteor-uat.aihw.gov.au/content/269941" TargetMode="External" Id="R3294754979fc4329" /><Relationship Type="http://schemas.openxmlformats.org/officeDocument/2006/relationships/hyperlink" Target="https://meteor-uat.aihw.gov.au/content/269975" TargetMode="External" Id="Rdc8bc270e0574d26" /><Relationship Type="http://schemas.openxmlformats.org/officeDocument/2006/relationships/hyperlink" Target="https://meteor-uat.aihw.gov.au/content/269940" TargetMode="External" Id="Re15558e6c4c94160" /><Relationship Type="http://schemas.openxmlformats.org/officeDocument/2006/relationships/hyperlink" Target="https://meteor-uat.aihw.gov.au/content/269977" TargetMode="External" Id="R7b381e42cfe24c2f" /><Relationship Type="http://schemas.openxmlformats.org/officeDocument/2006/relationships/hyperlink" Target="https://meteor-uat.aihw.gov.au/content/270174" TargetMode="External" Id="R76b7aaa036f144a2" /><Relationship Type="http://schemas.openxmlformats.org/officeDocument/2006/relationships/hyperlink" Target="https://meteor-uat.aihw.gov.au/content/333849" TargetMode="External" Id="Rdc71c96133354275" /><Relationship Type="http://schemas.openxmlformats.org/officeDocument/2006/relationships/hyperlink" Target="https://meteor-uat.aihw.gov.au/content/333853" TargetMode="External" Id="R4ce682e900ca4ddc" /><Relationship Type="http://schemas.openxmlformats.org/officeDocument/2006/relationships/hyperlink" Target="https://meteor-uat.aihw.gov.au/content/333874" TargetMode="External" Id="R338ebdb4065246a1" /><Relationship Type="http://schemas.openxmlformats.org/officeDocument/2006/relationships/hyperlink" Target="https://meteor-uat.aihw.gov.au/content/270253" TargetMode="External" Id="Rb6df2801f6e047ea" /><Relationship Type="http://schemas.openxmlformats.org/officeDocument/2006/relationships/hyperlink" Target="https://meteor-uat.aihw.gov.au/content/341800" TargetMode="External" Id="R19cd2b5e308b4e50" /><Relationship Type="http://schemas.openxmlformats.org/officeDocument/2006/relationships/hyperlink" Target="https://meteor-uat.aihw.gov.au/content/270277" TargetMode="External" Id="Rc48b03bcc4c44c6a" /><Relationship Type="http://schemas.openxmlformats.org/officeDocument/2006/relationships/hyperlink" Target="https://meteor-uat.aihw.gov.au/content/287007" TargetMode="External" Id="Rbe7a41b0c086470b" /><Relationship Type="http://schemas.openxmlformats.org/officeDocument/2006/relationships/hyperlink" Target="https://meteor-uat.aihw.gov.au/content/291036" TargetMode="External" Id="R508b1f2d87514724" /><Relationship Type="http://schemas.openxmlformats.org/officeDocument/2006/relationships/hyperlink" Target="https://meteor-uat.aihw.gov.au/content/290046" TargetMode="External" Id="R0e2420be12734a76" /><Relationship Type="http://schemas.openxmlformats.org/officeDocument/2006/relationships/hyperlink" Target="https://meteor-uat.aihw.gov.au/content/287316" TargetMode="External" Id="R6b111400ae234205" /><Relationship Type="http://schemas.openxmlformats.org/officeDocument/2006/relationships/hyperlink" Target="https://meteor-uat.aihw.gov.au/content/310245" TargetMode="External" Id="R0ce571ebd0ad4547" /></Relationships>
</file>

<file path=word/_rels/header1.xml.rels>&#65279;<?xml version="1.0" encoding="utf-8"?><Relationships xmlns="http://schemas.openxmlformats.org/package/2006/relationships"><Relationship Type="http://schemas.openxmlformats.org/officeDocument/2006/relationships/image" Target="/media/image.png" Id="R07bc83b120c347cb" /></Relationships>
</file>