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65ad45093914c96" /></Relationships>
</file>

<file path=word/document.xml><?xml version="1.0" encoding="utf-8"?>
<w:document xmlns:r="http://schemas.openxmlformats.org/officeDocument/2006/relationships" xmlns:w="http://schemas.openxmlformats.org/wordprocessingml/2006/main">
  <w:body>
    <w:p>
      <w:pPr>
        <w:pStyle w:val="Title"/>
      </w:pPr>
      <w:r>
        <w:t>SAAP Client Collection National Minimum Data Set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SAAP Client Collection National Minimum Data Set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339019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6efd8348da496f">
              <w:r>
                <w:rPr>
                  <w:rStyle w:val="Hyperlink"/>
                  <w:color w:val="244061"/>
                </w:rPr>
                <w:t xml:space="preserve">Community Services (retired)</w:t>
              </w:r>
            </w:hyperlink>
            <w:r>
              <w:rPr>
                <w:rStyle w:val="row-content"/>
                <w:color w:val="244061"/>
              </w:rPr>
              <w:t xml:space="preserve">, Retired 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Supported Accommodation Assistance Program (SAAP) Client data collection forms part of the SAAP National Data Collection. The National Data Collection (NDC) aims to provide good information about the SAAP to agencies and program administrators to assist them in their work so that services for homeless people can be improved. In addition, the collection aims to provide good information about SAAP to peaks, community groups, and interested researchers to assist in debates about homelessness.</w:t>
            </w:r>
          </w:p>
          <w:p>
            <w:pPr>
              <w:spacing w:after="160"/>
            </w:pPr>
            <w:r>
              <w:rPr>
                <w:rStyle w:val="row-content-rich-text"/>
              </w:rPr>
              <w:t xml:space="preserve">The SAAP NDC has three components; the client collection, the demand collection and the administrative collection. The client collection is intended to collect information on all clients receiving ongoing or substantial support under SAAP. Data collection includes basic socio-demographic information and the services required by and provided to each client. Details about accompanying children are also obtained. Additionally, information is collected about the client circumstances before and after receiving SAAP support.</w:t>
            </w:r>
          </w:p>
          <w:p>
            <w:pPr/>
            <w:r>
              <w:rPr>
                <w:rStyle w:val="row-content-rich-text"/>
              </w:rPr>
              <w:t xml:space="preserve">The SAAP NMDS includes information about all clients receiving SAAP support lasting more than 1 hour. The information is collected throughout the year. The SAAP NMDS also identifies and describes the agencies funded under SAAP.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SAAP NMDS is compiled by collating information provided by agencies across Australia and by State and Territory community service departments, and is stored in the SAAP National Data Collection Agency database.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7a82cfc13644c00">
              <w:r>
                <w:rPr>
                  <w:rStyle w:val="Hyperlink"/>
                </w:rPr>
                <w:t xml:space="preserve">SAAP National Coordination and Development Committee (CAD)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Agency Collectors Manual July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f84e9819694179">
                    <w:r>
                      <w:rPr>
                        <w:rStyle w:val="Hyperlink"/>
                      </w:rPr>
                      <w:t xml:space="preserve">Client—case management plan goal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12b266a3254c66">
                    <w:r>
                      <w:rPr>
                        <w:rStyle w:val="Hyperlink"/>
                      </w:rPr>
                      <w:t xml:space="preserve">Client—case management plan indicator, yes/no code N</w:t>
                    </w:r>
                  </w:hyperlink>
                </w:p>
                <w:p>
                  <w:r>
                    <w:rPr>
                      <w:b/>
                      <w:i/>
                      <w:color w:val="333333"/>
                    </w:rPr>
                    <w:t xml:space="preserve">DSS specific information:</w:t>
                  </w:r>
                </w:p>
                <w:p>
                  <w:r>
                    <w:t xml:space="preserve">This items records the view of the service provider at the end of the support period as to whether a case management plan was developed and agreed to by the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e51ef1e30c4949">
                    <w:r>
                      <w:rPr>
                        <w:rStyle w:val="Hyperlink"/>
                      </w:rPr>
                      <w:t xml:space="preserve">Client—consent obtained indicator, yes/no code N</w:t>
                    </w:r>
                  </w:hyperlink>
                </w:p>
                <w:p>
                  <w:r>
                    <w:rPr>
                      <w:b/>
                      <w:i/>
                      <w:color w:val="333333"/>
                    </w:rPr>
                    <w:t xml:space="preserve">DSS specific information:</w:t>
                  </w:r>
                </w:p>
                <w:p>
                  <w:r>
                    <w:t xml:space="preserve">This question must be answered.</w:t>
                  </w:r>
                </w:p>
                <w:p>
                  <w:r>
                    <w:t xml:space="preserve">For the purposes of the National Data Collection, informed consent is a statement by a client that he or she agrees to have personal information recorded and sent to the NDCA for analysis.</w:t>
                  </w:r>
                </w:p>
                <w:p>
                  <w:r>
                    <w:t xml:space="preserve">he National Data Collection operates under strict protocols which specify that clients have the right to:</w:t>
                  </w:r>
                </w:p>
                <w:p>
                  <w:pPr>
                    <w:pStyle w:val="ListParagraph"/>
                    <w:numPr>
                      <w:ilvl w:val="0"/>
                      <w:numId w:val="2"/>
                    </w:numPr>
                  </w:pPr>
                  <w:r>
                    <w:t xml:space="preserve">be told why the collection is being conducted and how the information will be used; and</w:t>
                  </w:r>
                </w:p>
                <w:p>
                  <w:pPr>
                    <w:pStyle w:val="ListParagraph"/>
                    <w:numPr>
                      <w:ilvl w:val="0"/>
                      <w:numId w:val="2"/>
                    </w:numPr>
                  </w:pPr>
                  <w:r>
                    <w:t xml:space="preserve">refuse to participate in the collection without affecting their right to receive services.</w:t>
                  </w:r>
                </w:p>
                <w:p>
                  <w:r>
                    <w:t xml:space="preserve">Only the information from certain questions will be used in reports if consent has not been obtained from the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2041f6267f4a57">
                    <w:r>
                      <w:rPr>
                        <w:rStyle w:val="Hyperlink"/>
                      </w:rPr>
                      <w:t xml:space="preserve">Client—group type, SAAP code N</w:t>
                    </w:r>
                  </w:hyperlink>
                </w:p>
                <w:p>
                  <w:r>
                    <w:rPr>
                      <w:b/>
                      <w:i/>
                      <w:color w:val="333333"/>
                    </w:rPr>
                    <w:t xml:space="preserve">Conditional obligation:</w:t>
                  </w:r>
                </w:p>
                <w:p>
                  <w:r>
                    <w:t xml:space="preserve">Conditional on consent being obtained from the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48626a17e744c8">
                    <w:r>
                      <w:rPr>
                        <w:rStyle w:val="Hyperlink"/>
                      </w:rPr>
                      <w:t xml:space="preserve">Client—reason case management plan does not exist, SAAP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c01a394cb74aaf">
                    <w:r>
                      <w:rPr>
                        <w:rStyle w:val="Hyperlink"/>
                      </w:rPr>
                      <w:t xml:space="preserve">Client—service activity type needed, SAAP accompanying child code N[N]</w:t>
                    </w:r>
                  </w:hyperlink>
                </w:p>
                <w:p>
                  <w:r>
                    <w:rPr>
                      <w:b/>
                      <w:i/>
                      <w:color w:val="333333"/>
                    </w:rPr>
                    <w:t xml:space="preserve">DSS specific information:</w:t>
                  </w:r>
                </w:p>
                <w:p>
                  <w:r>
                    <w:t xml:space="preserve">This data element should be collected for each accompanying child. </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ebb96b2bfb42cd">
                    <w:r>
                      <w:rPr>
                        <w:rStyle w:val="Hyperlink"/>
                      </w:rPr>
                      <w:t xml:space="preserve">Client—service activity type needed, SAAP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23892529874c36">
                    <w:r>
                      <w:rPr>
                        <w:rStyle w:val="Hyperlink"/>
                      </w:rPr>
                      <w:t xml:space="preserve">Client—service activity type provided, SAAP accompanying child code N[N]</w:t>
                    </w:r>
                  </w:hyperlink>
                </w:p>
                <w:p>
                  <w:r>
                    <w:rPr>
                      <w:b/>
                      <w:i/>
                      <w:color w:val="333333"/>
                    </w:rPr>
                    <w:t xml:space="preserve">DSS specific information:</w:t>
                  </w:r>
                </w:p>
                <w:p>
                  <w:r>
                    <w:t xml:space="preserve">This data element should be collected for each accompanying child. </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efcaa316a0415a">
                    <w:r>
                      <w:rPr>
                        <w:rStyle w:val="Hyperlink"/>
                      </w:rPr>
                      <w:t xml:space="preserve">Client—service activity type provided, SAAP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ceb7e220794b3b">
                    <w:r>
                      <w:rPr>
                        <w:rStyle w:val="Hyperlink"/>
                      </w:rPr>
                      <w:t xml:space="preserve">Client—service activity type referral arranged, SAAP accompanying child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4702bd599a44e5">
                    <w:r>
                      <w:rPr>
                        <w:rStyle w:val="Hyperlink"/>
                      </w:rPr>
                      <w:t xml:space="preserve">Client—service activity type referral arranged, SAAP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e5e7c750314def">
                    <w:r>
                      <w:rPr>
                        <w:rStyle w:val="Hyperlink"/>
                      </w:rPr>
                      <w:t xml:space="preserve">Date—accuracy indicator, code AAA</w:t>
                    </w:r>
                  </w:hyperlink>
                </w:p>
                <w:p>
                  <w:r>
                    <w:rPr>
                      <w:b/>
                      <w:i/>
                      <w:color w:val="333333"/>
                    </w:rPr>
                    <w:t xml:space="preserve">DSS specific information:</w:t>
                  </w:r>
                </w:p>
                <w:p>
                  <w:r>
                    <w:t xml:space="preserve">This data element should be collected for the client and for each accompanying child. It should be collected in conjunction with the client/accompanying children date of birth.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413538aa134764">
                    <w:r>
                      <w:rPr>
                        <w:rStyle w:val="Hyperlink"/>
                      </w:rPr>
                      <w:t xml:space="preserve">Person (address)—Australian postcode, code (Postcode datafile) {NNNN}</w:t>
                    </w:r>
                  </w:hyperlink>
                </w:p>
                <w:p>
                  <w:r>
                    <w:rPr>
                      <w:b/>
                      <w:i/>
                      <w:color w:val="333333"/>
                    </w:rPr>
                    <w:t xml:space="preserve">DSS specific information:</w:t>
                  </w:r>
                </w:p>
                <w:p>
                  <w:r>
                    <w:t xml:space="preserve">In the SAAP NMDS, the postcode location of the client's last home is recorded. This is defined as the location where the client last lived in a home in which they were safe, for which they had security of tenure, and that was adequate in terms of the amenities or resources necessary for living.</w:t>
                  </w:r>
                </w:p>
                <w:p>
                  <w:r>
                    <w:t xml:space="preserve">Guide for use</w:t>
                  </w:r>
                </w:p>
                <w:p>
                  <w:r>
                    <w:t xml:space="preserve">Additional codes used in the SAAP client data collection are:</w:t>
                  </w:r>
                </w:p>
                <w:p>
                  <w:r>
                    <w:t xml:space="preserve">Code  9998 overseas</w:t>
                  </w:r>
                </w:p>
                <w:p>
                  <w:r>
                    <w:t xml:space="preserve">Code  0      don't know/no information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03ceaa1fe34058">
                    <w:r>
                      <w:rPr>
                        <w:rStyle w:val="Hyperlink"/>
                      </w:rPr>
                      <w:t xml:space="preserve">Person (address)—suburb/town/locality name, text A[A(49)]</w:t>
                    </w:r>
                  </w:hyperlink>
                </w:p>
                <w:p>
                  <w:r>
                    <w:rPr>
                      <w:b/>
                      <w:i/>
                      <w:color w:val="333333"/>
                    </w:rPr>
                    <w:t xml:space="preserve">DSS specific information:</w:t>
                  </w:r>
                </w:p>
                <w:p>
                  <w:r>
                    <w:t xml:space="preserve">In the SAAP NMDS, the suburb or town location of the client's last home is recorded. This is defined as the location where the client last lived in a home in which they were safe, for which they had security of tenure, and that was adequate in terms of the amenities or resources necessary for living.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5f35d5437944ac">
                    <w:r>
                      <w:rPr>
                        <w:rStyle w:val="Hyperlink"/>
                      </w:rPr>
                      <w:t xml:space="preserve">Person (employed)—full-time/part-time status, code N</w:t>
                    </w:r>
                  </w:hyperlink>
                </w:p>
                <w:p>
                  <w:r>
                    <w:rPr>
                      <w:b/>
                      <w:i/>
                      <w:color w:val="333333"/>
                    </w:rPr>
                    <w:t xml:space="preserve">DSS specific information:</w:t>
                  </w:r>
                </w:p>
                <w:p>
                  <w:r>
                    <w:t xml:space="preserve">This data element is collected a minimum of twice (for the client):</w:t>
                  </w:r>
                  <w:r>
                    <w:br/>
                  </w:r>
                  <w:r>
                    <w:t xml:space="preserve">• the client's full-time/part-time status immediately before the support period starts; and</w:t>
                  </w:r>
                  <w:r>
                    <w:br/>
                  </w:r>
                  <w:r>
                    <w:t xml:space="preserve">• the client's full-time/part-time status immediately after the support period ends.</w:t>
                  </w:r>
                  <w:r>
                    <w:br/>
                  </w:r>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6d1c079f294392">
                    <w:r>
                      <w:rPr>
                        <w:rStyle w:val="Hyperlink"/>
                      </w:rPr>
                      <w:t xml:space="preserve">Person—Australian state/territory identifier, code N</w:t>
                    </w:r>
                  </w:hyperlink>
                </w:p>
                <w:p>
                  <w:r>
                    <w:rPr>
                      <w:b/>
                      <w:i/>
                      <w:color w:val="333333"/>
                    </w:rPr>
                    <w:t xml:space="preserve">DSS specific information:</w:t>
                  </w:r>
                </w:p>
                <w:p>
                  <w:r>
                    <w:t xml:space="preserve">In the SAAP NMDS, the state or territory location of the client's last home is recorded. This is defined as the location where the client last lived in a home in which they were safe, for which they had security of tenure, and that was adequate in terms of the amenities or resources necessary for living.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1bc4a458c0485f">
                    <w:r>
                      <w:rPr>
                        <w:rStyle w:val="Hyperlink"/>
                      </w:rPr>
                      <w:t xml:space="preserve">Person—country of birth, code (SACC 1998) NNNN</w:t>
                    </w:r>
                  </w:hyperlink>
                </w:p>
                <w:p>
                  <w:r>
                    <w:rPr>
                      <w:b/>
                      <w:i/>
                      <w:color w:val="333333"/>
                    </w:rPr>
                    <w:t xml:space="preserve">DSS specific information:</w:t>
                  </w:r>
                </w:p>
                <w:p>
                  <w:r>
                    <w:t xml:space="preserve">This data element should be collected for the client and for each accompanying child.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b44da3955b4d45">
                    <w:r>
                      <w:rPr>
                        <w:rStyle w:val="Hyperlink"/>
                      </w:rPr>
                      <w:t xml:space="preserve">Person—date of birth, DDMMYYYY</w:t>
                    </w:r>
                  </w:hyperlink>
                </w:p>
                <w:p>
                  <w:r>
                    <w:rPr>
                      <w:b/>
                      <w:i/>
                      <w:color w:val="333333"/>
                    </w:rPr>
                    <w:t xml:space="preserve">DSS specific information:</w:t>
                  </w:r>
                </w:p>
                <w:p>
                  <w:r>
                    <w:t xml:space="preserve">This data element should be collected for the client and for each accompanying child. The field is used in conjunction with the date accuracy indicator.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ec5efbb7834185">
                    <w:r>
                      <w:rPr>
                        <w:rStyle w:val="Hyperlink"/>
                      </w:rPr>
                      <w:t xml:space="preserve">Person—Indigenous status, code N</w:t>
                    </w:r>
                  </w:hyperlink>
                </w:p>
                <w:p>
                  <w:r>
                    <w:rPr>
                      <w:b/>
                      <w:i/>
                      <w:color w:val="333333"/>
                    </w:rPr>
                    <w:t xml:space="preserve">DSS specific information:</w:t>
                  </w:r>
                </w:p>
                <w:p>
                  <w:r>
                    <w:t xml:space="preserve">This data element should be collected for the client and for each accompanying child.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24c2dc08a246fa">
                    <w:r>
                      <w:rPr>
                        <w:rStyle w:val="Hyperlink"/>
                      </w:rPr>
                      <w:t xml:space="preserve">Person—labour force status, code N</w:t>
                    </w:r>
                  </w:hyperlink>
                </w:p>
                <w:p>
                  <w:r>
                    <w:rPr>
                      <w:b/>
                      <w:i/>
                      <w:color w:val="333333"/>
                    </w:rPr>
                    <w:t xml:space="preserve">DSS specific information:</w:t>
                  </w:r>
                </w:p>
                <w:p>
                  <w:r>
                    <w:t xml:space="preserve">This data element is collected a minimum of twice (for the client):</w:t>
                  </w:r>
                </w:p>
                <w:p>
                  <w:pPr>
                    <w:pStyle w:val="ListParagraph"/>
                    <w:numPr>
                      <w:ilvl w:val="0"/>
                      <w:numId w:val="3"/>
                    </w:numPr>
                  </w:pPr>
                  <w:r>
                    <w:t xml:space="preserve">the client's labour force status immediately before the support period starts; and</w:t>
                  </w:r>
                </w:p>
                <w:p>
                  <w:pPr>
                    <w:pStyle w:val="ListParagraph"/>
                    <w:numPr>
                      <w:ilvl w:val="0"/>
                      <w:numId w:val="3"/>
                    </w:numPr>
                  </w:pPr>
                  <w:r>
                    <w:t xml:space="preserve">the client's labour force status immediately after the support period ends.</w:t>
                  </w:r>
                </w:p>
                <w:p>
                  <w:r>
                    <w:t xml:space="preserve">Only one permissible value is selected in each case.</w:t>
                  </w:r>
                </w:p>
                <w:p>
                  <w:r>
                    <w:t xml:space="preserve">Note code values below:</w:t>
                  </w:r>
                </w:p>
                <w:p>
                  <w:r>
                    <w:t xml:space="preserve">Code 98 Client left without providing any information.</w:t>
                  </w:r>
                </w:p>
                <w:p>
                  <w:r>
                    <w:t xml:space="preserve">Code 99 Don't know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d417dc523141b8">
                    <w:r>
                      <w:rPr>
                        <w:rStyle w:val="Hyperlink"/>
                      </w:rPr>
                      <w:t xml:space="preserve">Person—letters of family name, text XXX</w:t>
                    </w:r>
                  </w:hyperlink>
                </w:p>
                <w:p>
                  <w:r>
                    <w:rPr>
                      <w:b/>
                      <w:i/>
                      <w:color w:val="333333"/>
                    </w:rPr>
                    <w:t xml:space="preserve">DSS specific information:</w:t>
                  </w:r>
                </w:p>
                <w:p>
                  <w:r>
                    <w:t xml:space="preserve">This data element should be collected for the client and for each accompanying child.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a398f706db438d">
                    <w:r>
                      <w:rPr>
                        <w:rStyle w:val="Hyperlink"/>
                      </w:rPr>
                      <w:t xml:space="preserve">Person—letters of given name, text XX</w:t>
                    </w:r>
                  </w:hyperlink>
                </w:p>
                <w:p>
                  <w:r>
                    <w:rPr>
                      <w:b/>
                      <w:i/>
                      <w:color w:val="333333"/>
                    </w:rPr>
                    <w:t xml:space="preserve">DSS specific information:</w:t>
                  </w:r>
                </w:p>
                <w:p>
                  <w:r>
                    <w:t xml:space="preserve">This data element should be collected for the client and for each accompanying child.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494254635b4dc3">
                    <w:r>
                      <w:rPr>
                        <w:rStyle w:val="Hyperlink"/>
                      </w:rPr>
                      <w:t xml:space="preserve">Person—living arrangement, SAAP code N[NN] (retired)</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ecb838929e4dfa">
                    <w:r>
                      <w:rPr>
                        <w:rStyle w:val="Hyperlink"/>
                      </w:rPr>
                      <w:t xml:space="preserve">Person—reason for seeking assistance, SAAP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59a22a4824462c">
                    <w:r>
                      <w:rPr>
                        <w:rStyle w:val="Hyperlink"/>
                      </w:rPr>
                      <w:t xml:space="preserve">Person—registered/awaiting government payment indicator, code N</w:t>
                    </w:r>
                  </w:hyperlink>
                </w:p>
                <w:p>
                  <w:r>
                    <w:rPr>
                      <w:b/>
                      <w:i/>
                      <w:color w:val="333333"/>
                    </w:rPr>
                    <w:t xml:space="preserve">DSS specific information:</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b5f93a4ada4b39">
                    <w:r>
                      <w:rPr>
                        <w:rStyle w:val="Hyperlink"/>
                      </w:rPr>
                      <w:t xml:space="preserve">Person—sex, code N</w:t>
                    </w:r>
                  </w:hyperlink>
                </w:p>
                <w:p>
                  <w:r>
                    <w:rPr>
                      <w:b/>
                      <w:i/>
                      <w:color w:val="333333"/>
                    </w:rPr>
                    <w:t xml:space="preserve">DSS specific information:</w:t>
                  </w:r>
                </w:p>
                <w:p>
                  <w:r>
                    <w:t xml:space="preserve">Note: The SAAP collection implements this item as M for Male and F for Female as part of the SAAP Alpha code, and as 1 for Female and 2 for Male for the sex of the client and any accompanying children.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d9ed43e87b47e2">
                    <w:r>
                      <w:rPr>
                        <w:rStyle w:val="Hyperlink"/>
                      </w:rPr>
                      <w:t xml:space="preserve">Person—source of cash income (principal), SAAP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ced312e228497a">
                    <w:r>
                      <w:rPr>
                        <w:rStyle w:val="Hyperlink"/>
                      </w:rPr>
                      <w:t xml:space="preserve">Person—student type, SAAP code N[N]</w:t>
                    </w:r>
                  </w:hyperlink>
                </w:p>
                <w:p>
                  <w:r>
                    <w:rPr>
                      <w:b/>
                      <w:i/>
                      <w:color w:val="333333"/>
                    </w:rPr>
                    <w:t xml:space="preserve">DSS specific information:</w:t>
                  </w:r>
                </w:p>
                <w:p>
                  <w:r>
                    <w:t xml:space="preserve">In the SAAP NMDS, this data element is collected a minimum of twice (for the client):</w:t>
                  </w:r>
                </w:p>
                <w:p>
                  <w:pPr>
                    <w:pStyle w:val="ListParagraph"/>
                    <w:numPr>
                      <w:ilvl w:val="0"/>
                      <w:numId w:val="4"/>
                    </w:numPr>
                  </w:pPr>
                  <w:r>
                    <w:t xml:space="preserve">the client's student status immediately before the support period starts; and</w:t>
                  </w:r>
                </w:p>
                <w:p>
                  <w:pPr>
                    <w:pStyle w:val="ListParagraph"/>
                    <w:numPr>
                      <w:ilvl w:val="0"/>
                      <w:numId w:val="4"/>
                    </w:numPr>
                  </w:pPr>
                  <w:r>
                    <w:t xml:space="preserve">the client's student status immediately after the support period ends.</w:t>
                  </w:r>
                </w:p>
                <w:p>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c2b155fa5047df">
                    <w:r>
                      <w:rPr>
                        <w:rStyle w:val="Hyperlink"/>
                      </w:rPr>
                      <w:t xml:space="preserve">Person—student/employment training indicator, code N</w:t>
                    </w:r>
                  </w:hyperlink>
                </w:p>
                <w:p>
                  <w:r>
                    <w:rPr>
                      <w:b/>
                      <w:i/>
                      <w:color w:val="333333"/>
                    </w:rPr>
                    <w:t xml:space="preserve">DSS specific information:</w:t>
                  </w:r>
                </w:p>
                <w:p>
                  <w:r>
                    <w:t xml:space="preserve">In the SAAP NMDS, this data element is collected a minimum of twice (for the client):</w:t>
                  </w:r>
                </w:p>
                <w:p>
                  <w:pPr>
                    <w:pStyle w:val="ListParagraph"/>
                    <w:numPr>
                      <w:ilvl w:val="0"/>
                      <w:numId w:val="5"/>
                    </w:numPr>
                  </w:pPr>
                  <w:r>
                    <w:t xml:space="preserve">immediately before the support period starts; and</w:t>
                  </w:r>
                </w:p>
                <w:p>
                  <w:pPr>
                    <w:pStyle w:val="ListParagraph"/>
                    <w:numPr>
                      <w:ilvl w:val="0"/>
                      <w:numId w:val="5"/>
                    </w:numPr>
                  </w:pPr>
                  <w:r>
                    <w:t xml:space="preserve">immediately after the support period ends.</w:t>
                  </w:r>
                </w:p>
                <w:p>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23ff2f41bd4fdb">
                    <w:r>
                      <w:rPr>
                        <w:rStyle w:val="Hyperlink"/>
                      </w:rPr>
                      <w:t xml:space="preserve">Person—tenure type, SAAP code N[N] (retired)</w:t>
                    </w:r>
                  </w:hyperlink>
                </w:p>
                <w:p>
                  <w:r>
                    <w:rPr>
                      <w:b/>
                      <w:i/>
                      <w:color w:val="333333"/>
                    </w:rPr>
                    <w:t xml:space="preserve">Conditional obligation:</w:t>
                  </w:r>
                </w:p>
                <w:p>
                  <w:r>
                    <w:t xml:space="preserve">Conditional on consent being obtained from the client.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02a2b43d874477">
                    <w:r>
                      <w:rPr>
                        <w:rStyle w:val="Hyperlink"/>
                      </w:rPr>
                      <w:t xml:space="preserve">Referral—referral source, SAAP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c8ed16b9ab41a9">
                    <w:r>
                      <w:rPr>
                        <w:rStyle w:val="Hyperlink"/>
                      </w:rPr>
                      <w:t xml:space="preserve">Service episode—episode end date, DDMMYYYY</w:t>
                    </w:r>
                  </w:hyperlink>
                </w:p>
                <w:p>
                  <w:r>
                    <w:rPr>
                      <w:b/>
                      <w:i/>
                      <w:color w:val="333333"/>
                    </w:rPr>
                    <w:t xml:space="preserve">DSS specific information:</w:t>
                  </w:r>
                </w:p>
                <w:p>
                  <w:r>
                    <w:t xml:space="preserve">In SAAP, a service episode is known as a support period. It is considered to end when the relationship between a client and a SAAP agency has ended.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f36b93bd524d48">
                    <w:r>
                      <w:rPr>
                        <w:rStyle w:val="Hyperlink"/>
                      </w:rPr>
                      <w:t xml:space="preserve">Service episode—episode start date, DDMMYYYY</w:t>
                    </w:r>
                  </w:hyperlink>
                </w:p>
                <w:p>
                  <w:r>
                    <w:rPr>
                      <w:b/>
                      <w:i/>
                      <w:color w:val="333333"/>
                    </w:rPr>
                    <w:t xml:space="preserve">DSS specific information:</w:t>
                  </w:r>
                </w:p>
                <w:p>
                  <w:r>
                    <w:t xml:space="preserve">In SAAP, a service episode is known as a support period. It commences when a client begins to receive support from a SAAP agency.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845225e2614432">
                    <w:r>
                      <w:rPr>
                        <w:rStyle w:val="Hyperlink"/>
                      </w:rPr>
                      <w:t xml:space="preserve">Service episode—service ongoing indicator,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630b1c43744589">
                    <w:r>
                      <w:rPr>
                        <w:rStyle w:val="Hyperlink"/>
                      </w:rPr>
                      <w:t xml:space="preserve">Service event—accommodation period end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6ff5110fcd4736">
                    <w:r>
                      <w:rPr>
                        <w:rStyle w:val="Hyperlink"/>
                      </w:rPr>
                      <w:t xml:space="preserve">Service event—accommodation period start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b45f74d1314b2e">
                    <w:r>
                      <w:rPr>
                        <w:rStyle w:val="Hyperlink"/>
                      </w:rPr>
                      <w:t xml:space="preserve">Service event—supported accommodation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fccd2e34e4424d">
                    <w:r>
                      <w:rPr>
                        <w:rStyle w:val="Hyperlink"/>
                      </w:rPr>
                      <w:t xml:space="preserve">Service provider organisation—organisation identifier (SAAP), NNNNA</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8bcd7ae22ef44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339019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7562816c124f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bcd7ae22ef44f9" /><Relationship Type="http://schemas.openxmlformats.org/officeDocument/2006/relationships/header" Target="/word/header1.xml" Id="R7deda7bde0ea4c21" /><Relationship Type="http://schemas.openxmlformats.org/officeDocument/2006/relationships/settings" Target="/word/settings.xml" Id="R793133258b5a44bc" /><Relationship Type="http://schemas.openxmlformats.org/officeDocument/2006/relationships/styles" Target="/word/styles.xml" Id="R7d787da8d4af4142" /><Relationship Type="http://schemas.openxmlformats.org/officeDocument/2006/relationships/numbering" Target="/word/numbering.xml" Id="R7981eb9f16074d61" /><Relationship Type="http://schemas.openxmlformats.org/officeDocument/2006/relationships/hyperlink" Target="https://meteor-uat.aihw.gov.au/RegistrationAuthority/3" TargetMode="External" Id="Rd56efd8348da496f" /><Relationship Type="http://schemas.openxmlformats.org/officeDocument/2006/relationships/hyperlink" Target="https://meteor-uat.aihw.gov.au/content/367582" TargetMode="External" Id="R57a82cfc13644c00" /><Relationship Type="http://schemas.openxmlformats.org/officeDocument/2006/relationships/hyperlink" Target="https://meteor-uat.aihw.gov.au/content/336961" TargetMode="External" Id="Rebf84e9819694179" /><Relationship Type="http://schemas.openxmlformats.org/officeDocument/2006/relationships/hyperlink" Target="https://meteor-uat.aihw.gov.au/content/321129" TargetMode="External" Id="Rb812b266a3254c66" /><Relationship Type="http://schemas.openxmlformats.org/officeDocument/2006/relationships/hyperlink" Target="https://meteor-uat.aihw.gov.au/content/338737" TargetMode="External" Id="Rbee51ef1e30c4949" /><Relationship Type="http://schemas.openxmlformats.org/officeDocument/2006/relationships/hyperlink" Target="https://meteor-uat.aihw.gov.au/content/336756" TargetMode="External" Id="R402041f6267f4a57" /><Relationship Type="http://schemas.openxmlformats.org/officeDocument/2006/relationships/hyperlink" Target="https://meteor-uat.aihw.gov.au/content/350385" TargetMode="External" Id="R7248626a17e744c8" /><Relationship Type="http://schemas.openxmlformats.org/officeDocument/2006/relationships/hyperlink" Target="https://meteor-uat.aihw.gov.au/content/352306" TargetMode="External" Id="R00c01a394cb74aaf" /><Relationship Type="http://schemas.openxmlformats.org/officeDocument/2006/relationships/hyperlink" Target="https://meteor-uat.aihw.gov.au/content/348873" TargetMode="External" Id="Reaebb96b2bfb42cd" /><Relationship Type="http://schemas.openxmlformats.org/officeDocument/2006/relationships/hyperlink" Target="https://meteor-uat.aihw.gov.au/content/352309" TargetMode="External" Id="Rb623892529874c36" /><Relationship Type="http://schemas.openxmlformats.org/officeDocument/2006/relationships/hyperlink" Target="https://meteor-uat.aihw.gov.au/content/352292" TargetMode="External" Id="R62efcaa316a0415a" /><Relationship Type="http://schemas.openxmlformats.org/officeDocument/2006/relationships/hyperlink" Target="https://meteor-uat.aihw.gov.au/content/352311" TargetMode="External" Id="R56ceb7e220794b3b" /><Relationship Type="http://schemas.openxmlformats.org/officeDocument/2006/relationships/hyperlink" Target="https://meteor-uat.aihw.gov.au/content/352295" TargetMode="External" Id="R774702bd599a44e5" /><Relationship Type="http://schemas.openxmlformats.org/officeDocument/2006/relationships/hyperlink" Target="https://meteor-uat.aihw.gov.au/content/294429" TargetMode="External" Id="Re9e5e7c750314def" /><Relationship Type="http://schemas.openxmlformats.org/officeDocument/2006/relationships/hyperlink" Target="https://meteor-uat.aihw.gov.au/content/287224" TargetMode="External" Id="R88413538aa134764" /><Relationship Type="http://schemas.openxmlformats.org/officeDocument/2006/relationships/hyperlink" Target="https://meteor-uat.aihw.gov.au/content/287326" TargetMode="External" Id="Rfa03ceaa1fe34058" /><Relationship Type="http://schemas.openxmlformats.org/officeDocument/2006/relationships/hyperlink" Target="https://meteor-uat.aihw.gov.au/content/269950" TargetMode="External" Id="Rb85f35d5437944ac" /><Relationship Type="http://schemas.openxmlformats.org/officeDocument/2006/relationships/hyperlink" Target="https://meteor-uat.aihw.gov.au/content/286919" TargetMode="External" Id="Rfb6d1c079f294392" /><Relationship Type="http://schemas.openxmlformats.org/officeDocument/2006/relationships/hyperlink" Target="https://meteor-uat.aihw.gov.au/content/270277" TargetMode="External" Id="Rc91bc4a458c0485f" /><Relationship Type="http://schemas.openxmlformats.org/officeDocument/2006/relationships/hyperlink" Target="https://meteor-uat.aihw.gov.au/content/287007" TargetMode="External" Id="R09b44da3955b4d45" /><Relationship Type="http://schemas.openxmlformats.org/officeDocument/2006/relationships/hyperlink" Target="https://meteor-uat.aihw.gov.au/content/291036" TargetMode="External" Id="R85ec5efbb7834185" /><Relationship Type="http://schemas.openxmlformats.org/officeDocument/2006/relationships/hyperlink" Target="https://meteor-uat.aihw.gov.au/content/270112" TargetMode="External" Id="R1124c2dc08a246fa" /><Relationship Type="http://schemas.openxmlformats.org/officeDocument/2006/relationships/hyperlink" Target="https://meteor-uat.aihw.gov.au/content/349481" TargetMode="External" Id="Rabd417dc523141b8" /><Relationship Type="http://schemas.openxmlformats.org/officeDocument/2006/relationships/hyperlink" Target="https://meteor-uat.aihw.gov.au/content/349483" TargetMode="External" Id="Rdfa398f706db438d" /><Relationship Type="http://schemas.openxmlformats.org/officeDocument/2006/relationships/hyperlink" Target="https://meteor-uat.aihw.gov.au/content/337909" TargetMode="External" Id="Rc7494254635b4dc3" /><Relationship Type="http://schemas.openxmlformats.org/officeDocument/2006/relationships/hyperlink" Target="https://meteor-uat.aihw.gov.au/content/337012" TargetMode="External" Id="R9fecb838929e4dfa" /><Relationship Type="http://schemas.openxmlformats.org/officeDocument/2006/relationships/hyperlink" Target="https://meteor-uat.aihw.gov.au/content/350279" TargetMode="External" Id="Rb859a22a4824462c" /><Relationship Type="http://schemas.openxmlformats.org/officeDocument/2006/relationships/hyperlink" Target="https://meteor-uat.aihw.gov.au/content/287316" TargetMode="External" Id="R44b5f93a4ada4b39" /><Relationship Type="http://schemas.openxmlformats.org/officeDocument/2006/relationships/hyperlink" Target="https://meteor-uat.aihw.gov.au/content/348574" TargetMode="External" Id="Rdfd9ed43e87b47e2" /><Relationship Type="http://schemas.openxmlformats.org/officeDocument/2006/relationships/hyperlink" Target="https://meteor-uat.aihw.gov.au/content/337595" TargetMode="External" Id="R96ced312e228497a" /><Relationship Type="http://schemas.openxmlformats.org/officeDocument/2006/relationships/hyperlink" Target="https://meteor-uat.aihw.gov.au/content/349588" TargetMode="External" Id="Rc5c2b155fa5047df" /><Relationship Type="http://schemas.openxmlformats.org/officeDocument/2006/relationships/hyperlink" Target="https://meteor-uat.aihw.gov.au/content/337688" TargetMode="External" Id="Rce23ff2f41bd4fdb" /><Relationship Type="http://schemas.openxmlformats.org/officeDocument/2006/relationships/hyperlink" Target="https://meteor-uat.aihw.gov.au/content/336797" TargetMode="External" Id="R2102a2b43d874477" /><Relationship Type="http://schemas.openxmlformats.org/officeDocument/2006/relationships/hyperlink" Target="https://meteor-uat.aihw.gov.au/content/270160" TargetMode="External" Id="Rb9c8ed16b9ab41a9" /><Relationship Type="http://schemas.openxmlformats.org/officeDocument/2006/relationships/hyperlink" Target="https://meteor-uat.aihw.gov.au/content/338558" TargetMode="External" Id="R53f36b93bd524d48" /><Relationship Type="http://schemas.openxmlformats.org/officeDocument/2006/relationships/hyperlink" Target="https://meteor-uat.aihw.gov.au/content/338787" TargetMode="External" Id="R16845225e2614432" /><Relationship Type="http://schemas.openxmlformats.org/officeDocument/2006/relationships/hyperlink" Target="https://meteor-uat.aihw.gov.au/content/347334" TargetMode="External" Id="R53630b1c43744589" /><Relationship Type="http://schemas.openxmlformats.org/officeDocument/2006/relationships/hyperlink" Target="https://meteor-uat.aihw.gov.au/content/348138" TargetMode="External" Id="R9a6ff5110fcd4736" /><Relationship Type="http://schemas.openxmlformats.org/officeDocument/2006/relationships/hyperlink" Target="https://meteor-uat.aihw.gov.au/content/338690" TargetMode="External" Id="Rdbb45f74d1314b2e" /><Relationship Type="http://schemas.openxmlformats.org/officeDocument/2006/relationships/hyperlink" Target="https://meteor-uat.aihw.gov.au/content/349314" TargetMode="External" Id="R9afccd2e34e4424d" /></Relationships>
</file>

<file path=word/_rels/header1.xml.rels>&#65279;<?xml version="1.0" encoding="utf-8"?><Relationships xmlns="http://schemas.openxmlformats.org/package/2006/relationships"><Relationship Type="http://schemas.openxmlformats.org/officeDocument/2006/relationships/image" Target="/media/image.png" Id="Rf97562816c124f32" /></Relationships>
</file>