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d63d2e99e4468"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other party,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other party,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compensatory payment to 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2d7236e04432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 as a basis for a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c5d9eef1f48e7">
              <w:r>
                <w:rPr>
                  <w:rStyle w:val="Hyperlink"/>
                </w:rPr>
                <w:t xml:space="preserve">Medical indemnity claim—type of compensatory payment to other party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e0e5f34a6742cb">
              <w:r>
                <w:rPr>
                  <w:rStyle w:val="Hyperlink"/>
                </w:rPr>
                <w:t xml:space="preserve">Type of compensatory payment to other party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economic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pain and suffering (excluding 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Loss of consortium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 payment to an 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is the only claimant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Care costs</w:t>
            </w:r>
          </w:p>
          <w:p>
            <w:pPr>
              <w:spacing w:after="160"/>
            </w:pPr>
            <w:r>
              <w:rPr>
                <w:rStyle w:val="row-content-rich-text"/>
              </w:rPr>
              <w:t xml:space="preserve">'Care costs' include long-term care costs, and covers both past and future care costs, whether provided gratuitously or otherwise.</w:t>
            </w:r>
          </w:p>
          <w:p>
            <w:pPr>
              <w:spacing w:after="160"/>
            </w:pPr>
            <w:r>
              <w:rPr>
                <w:rStyle w:val="row-content-rich-text"/>
              </w:rPr>
              <w:t xml:space="preserve">CODE 2   Other economic loss</w:t>
            </w:r>
          </w:p>
          <w:p>
            <w:pPr>
              <w:spacing w:after="160"/>
            </w:pPr>
            <w:r>
              <w:rPr>
                <w:rStyle w:val="row-content-rich-text"/>
              </w:rPr>
              <w:t xml:space="preserve">'Other economic loss' includes past and future economic loss and past and future out-of-pocket expenses. It also includes dependency claims following the death of the patient, that is loss of the economic benefits provided by the patient. Care and medical costs are excluded.</w:t>
            </w:r>
          </w:p>
          <w:p>
            <w:pPr>
              <w:spacing w:after="160"/>
            </w:pPr>
            <w:r>
              <w:rPr>
                <w:rStyle w:val="row-content-rich-text"/>
              </w:rPr>
              <w:t xml:space="preserve">CODE 3   Nervous shock</w:t>
            </w:r>
          </w:p>
          <w:p>
            <w:pPr>
              <w:spacing w:after="160"/>
            </w:pPr>
            <w:r>
              <w:rPr>
                <w:rStyle w:val="row-content-rich-text"/>
              </w:rPr>
              <w:t xml:space="preserve">'Nervous shock' applies to psychiatric damage severe enough to amount to a recognised mental illness, such as anxiety neurosis or reactive depression, extending beyond grief or emotional distress.</w:t>
            </w:r>
          </w:p>
          <w:p>
            <w:pPr>
              <w:spacing w:after="160"/>
            </w:pPr>
            <w:r>
              <w:rPr>
                <w:rStyle w:val="row-content-rich-text"/>
              </w:rPr>
              <w:t xml:space="preserve">CODE 4   Other pain and suffering (excluding nervous shock)</w:t>
            </w:r>
          </w:p>
          <w:p>
            <w:pPr>
              <w:spacing w:after="160"/>
            </w:pPr>
            <w:r>
              <w:rPr>
                <w:rStyle w:val="row-content-rich-text"/>
              </w:rPr>
              <w:t xml:space="preserve">'Other pain and suffering (excluding nervous shock)' includes general damages, but excludes nervous shock.</w:t>
            </w:r>
          </w:p>
          <w:p>
            <w:pPr>
              <w:spacing w:after="160"/>
            </w:pPr>
            <w:r>
              <w:rPr>
                <w:rStyle w:val="row-content-rich-text"/>
              </w:rPr>
              <w:t xml:space="preserve">CODE 5   Loss of consortium</w:t>
            </w:r>
          </w:p>
          <w:p>
            <w:pPr>
              <w:spacing w:after="160"/>
            </w:pPr>
            <w:r>
              <w:rPr>
                <w:rStyle w:val="row-content-rich-text"/>
              </w:rPr>
              <w:t xml:space="preserve">'Loss of consortium' refers to damages awarded to a family member (usually a spouse) for loss of companionship.</w:t>
            </w:r>
          </w:p>
          <w:p>
            <w:pPr>
              <w:spacing w:after="160"/>
            </w:pPr>
            <w:r>
              <w:rPr>
                <w:rStyle w:val="row-content-rich-text"/>
              </w:rPr>
              <w:t xml:space="preserve">CODE 9   Medical costs</w:t>
            </w:r>
          </w:p>
          <w:p>
            <w:pPr>
              <w:spacing w:after="160"/>
            </w:pPr>
            <w:r>
              <w:rPr>
                <w:rStyle w:val="row-content-rich-text"/>
              </w:rPr>
              <w:t xml:space="preserve">'Medical costs' include costs associated with medical treatment (both past and future), for example, doctor’s fees or hospital expenses.</w:t>
            </w:r>
          </w:p>
          <w:p>
            <w:pPr>
              <w:spacing w:after="160"/>
            </w:pPr>
            <w:r>
              <w:rPr>
                <w:rStyle w:val="row-content-rich-text"/>
              </w:rPr>
              <w:t xml:space="preserve">CODE 12   No payment to an other party</w:t>
            </w:r>
          </w:p>
          <w:p>
            <w:pPr>
              <w:spacing w:after="160"/>
            </w:pPr>
            <w:r>
              <w:rPr>
                <w:rStyle w:val="row-content-rich-text"/>
              </w:rPr>
              <w:t xml:space="preserve">'No payment to an other party' should be recorded where a medical indemnity claim is closed and no compensatory payment has been made to another party.</w:t>
            </w:r>
          </w:p>
          <w:p>
            <w:pPr>
              <w:spacing w:after="160"/>
            </w:pPr>
            <w:r>
              <w:rPr>
                <w:rStyle w:val="row-content-rich-text"/>
              </w:rPr>
              <w:t xml:space="preserve">CODE 88   Other loss</w:t>
            </w:r>
          </w:p>
          <w:p>
            <w:pPr>
              <w:spacing w:after="160"/>
            </w:pPr>
            <w:r>
              <w:rPr>
                <w:rStyle w:val="row-content-rich-text"/>
              </w:rPr>
              <w:t xml:space="preserve">'Other loss' includes any other loss not covered by the other codes for which an other party is compensated.</w:t>
            </w:r>
          </w:p>
          <w:p>
            <w:pPr>
              <w:spacing w:after="160"/>
            </w:pPr>
            <w:r>
              <w:rPr>
                <w:rStyle w:val="row-content-rich-text"/>
              </w:rPr>
              <w:t xml:space="preserve">CODE 97   Not applicable—patient is the only claimant</w:t>
            </w:r>
          </w:p>
          <w:p>
            <w:pPr>
              <w:spacing w:after="160"/>
            </w:pPr>
            <w:r>
              <w:rPr>
                <w:rStyle w:val="row-content-rich-text"/>
              </w:rPr>
              <w:t xml:space="preserve">'Not applicable—patient is the only claimant’ should be recorded where a medical indemnity claim is based on an allegation of loss to the patient, not to an other party.</w:t>
            </w:r>
          </w:p>
          <w:p>
            <w:pPr>
              <w:spacing w:after="160"/>
            </w:pPr>
            <w:r>
              <w:rPr>
                <w:rStyle w:val="row-content-rich-text"/>
              </w:rPr>
              <w:t xml:space="preserve">CODE 99   Not stated/inadequately described</w:t>
            </w:r>
          </w:p>
          <w:p>
            <w:pPr>
              <w:spacing w:after="160"/>
            </w:pPr>
            <w:r>
              <w:rPr>
                <w:rStyle w:val="row-content-rich-text"/>
              </w:rPr>
              <w:t xml:space="preserve">'Not stated/inadequately described' should be recorded when the information is not currently available.</w:t>
            </w:r>
          </w:p>
          <w:p>
            <w:pPr/>
            <w:r>
              <w:rPr>
                <w:rStyle w:val="row-content-rich-text"/>
              </w:rPr>
              <w:t xml:space="preserve">More than one code (excluding Code 99) may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5e61f8b16545f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During development of the Medical Indemnity National Collection it was decided that an item for recording broad categories of loss was needed. Where the medical indemnity claim relates to loss suffered by an other party or parties, whether solely or in combination with loss suffered by the patient, it is relevant to record the nature of this loss separately to the loss suffered by the patient.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c0993ab670413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6018700b76463b">
              <w:r>
                <w:rPr>
                  <w:rStyle w:val="Hyperlink"/>
                </w:rPr>
                <w:t xml:space="preserve">Medical indemnity claim—type of compensatory payment to patient, code N[N]</w:t>
              </w:r>
            </w:hyperlink>
          </w:p>
          <w:p>
            <w:pPr>
              <w:pStyle w:val="registration-status"/>
              <w:spacing w:before="0" w:after="0"/>
            </w:pPr>
            <w:hyperlink w:history="true" r:id="R553966f574444a3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ed81f78b6344bf">
              <w:r>
                <w:rPr>
                  <w:rStyle w:val="Hyperlink"/>
                </w:rPr>
                <w:t xml:space="preserve">Medical indemnity DSS 2012-14</w:t>
              </w:r>
            </w:hyperlink>
          </w:p>
          <w:p>
            <w:pPr>
              <w:pStyle w:val="registration-status"/>
              <w:spacing w:before="0" w:after="0"/>
            </w:pPr>
            <w:hyperlink w:history="true" r:id="R78698e6f7eee487a">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e44fe3213334143">
              <w:r>
                <w:rPr>
                  <w:rStyle w:val="Hyperlink"/>
                </w:rPr>
                <w:t xml:space="preserve">Medical indemnity NBPDS 2014-</w:t>
              </w:r>
            </w:hyperlink>
          </w:p>
          <w:p>
            <w:pPr>
              <w:pStyle w:val="registration-status"/>
              <w:spacing w:before="0" w:after="0"/>
            </w:pPr>
            <w:hyperlink w:history="true" r:id="R3014aaf8dad448a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605be5436834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f0baec71d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be543683443e8" /><Relationship Type="http://schemas.openxmlformats.org/officeDocument/2006/relationships/header" Target="/word/header1.xml" Id="Re3b448d0c7ad4d4f" /><Relationship Type="http://schemas.openxmlformats.org/officeDocument/2006/relationships/settings" Target="/word/settings.xml" Id="Rc1788bfdb18e44f9" /><Relationship Type="http://schemas.openxmlformats.org/officeDocument/2006/relationships/styles" Target="/word/styles.xml" Id="R090bec3886bd4c91" /><Relationship Type="http://schemas.openxmlformats.org/officeDocument/2006/relationships/hyperlink" Target="https://meteor-uat.aihw.gov.au/RegistrationAuthority/14" TargetMode="External" Id="Rdff2d7236e04432b" /><Relationship Type="http://schemas.openxmlformats.org/officeDocument/2006/relationships/hyperlink" Target="https://meteor-uat.aihw.gov.au/content/329789" TargetMode="External" Id="R895c5d9eef1f48e7" /><Relationship Type="http://schemas.openxmlformats.org/officeDocument/2006/relationships/hyperlink" Target="https://meteor-uat.aihw.gov.au/content/329791" TargetMode="External" Id="R00e0e5f34a6742cb" /><Relationship Type="http://schemas.openxmlformats.org/officeDocument/2006/relationships/hyperlink" Target="https://meteor-uat.aihw.gov.au/content/246013" TargetMode="External" Id="R245e61f8b16545f9" /><Relationship Type="http://schemas.openxmlformats.org/officeDocument/2006/relationships/hyperlink" Target="https://meteor-uat.aihw.gov.au/content/246013" TargetMode="External" Id="Redc0993ab6704135" /><Relationship Type="http://schemas.openxmlformats.org/officeDocument/2006/relationships/hyperlink" Target="https://meteor-uat.aihw.gov.au/content/329796" TargetMode="External" Id="R756018700b76463b" /><Relationship Type="http://schemas.openxmlformats.org/officeDocument/2006/relationships/hyperlink" Target="https://meteor-uat.aihw.gov.au/RegistrationAuthority/14" TargetMode="External" Id="R553966f574444a30" /><Relationship Type="http://schemas.openxmlformats.org/officeDocument/2006/relationships/hyperlink" Target="https://meteor-uat.aihw.gov.au/content/329638" TargetMode="External" Id="Re6ed81f78b6344bf" /><Relationship Type="http://schemas.openxmlformats.org/officeDocument/2006/relationships/hyperlink" Target="https://meteor-uat.aihw.gov.au/RegistrationAuthority/14" TargetMode="External" Id="R78698e6f7eee487a" /><Relationship Type="http://schemas.openxmlformats.org/officeDocument/2006/relationships/hyperlink" Target="https://meteor-uat.aihw.gov.au/content/531844" TargetMode="External" Id="Rce44fe3213334143" /><Relationship Type="http://schemas.openxmlformats.org/officeDocument/2006/relationships/hyperlink" Target="https://meteor-uat.aihw.gov.au/RegistrationAuthority/14" TargetMode="External" Id="R3014aaf8dad448a0" /></Relationships>
</file>

<file path=word/_rels/header1.xml.rels>&#65279;<?xml version="1.0" encoding="utf-8"?><Relationships xmlns="http://schemas.openxmlformats.org/package/2006/relationships"><Relationship Type="http://schemas.openxmlformats.org/officeDocument/2006/relationships/image" Target="/media/image.png" Id="R198f0baec71d4523" /></Relationships>
</file>