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a9b465bda4f66"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compensatory payment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d1f2c587b409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 as a basis for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5ac435163e43f8">
              <w:r>
                <w:rPr>
                  <w:rStyle w:val="Hyperlink"/>
                </w:rPr>
                <w:t xml:space="preserve">Medical indemnity claim—type of compensatory payment to patient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79c99701e74322">
              <w:r>
                <w:rPr>
                  <w:rStyle w:val="Hyperlink"/>
                </w:rPr>
                <w:t xml:space="preserve">Type of compensatory payment to patient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Pain and suffering (including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 payment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not a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excluding care and medical costs.</w:t>
            </w:r>
          </w:p>
          <w:p>
            <w:pPr>
              <w:spacing w:after="160"/>
            </w:pPr>
            <w:r>
              <w:rPr>
                <w:rStyle w:val="row-content-rich-text"/>
              </w:rPr>
              <w:t xml:space="preserve">CODE 3   Pain and suffering (including nervous shock)</w:t>
            </w:r>
          </w:p>
          <w:p>
            <w:pPr>
              <w:spacing w:after="160"/>
            </w:pPr>
            <w:r>
              <w:rPr>
                <w:rStyle w:val="row-content-rich-text"/>
              </w:rPr>
              <w:t xml:space="preserve">'Pain and suffering (including nervous shock)' includes temporary or ongoing disability and general damages. 'Nervous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7   Medical costs</w:t>
            </w:r>
          </w:p>
          <w:p>
            <w:pPr>
              <w:spacing w:after="160"/>
            </w:pPr>
            <w:r>
              <w:rPr>
                <w:rStyle w:val="row-content-rich-text"/>
              </w:rPr>
              <w:t xml:space="preserve">'Medical costs' includes costs associated with medical treatment (both past and future), for example, doctor’s fees or hospital expenses.</w:t>
            </w:r>
          </w:p>
          <w:p>
            <w:pPr>
              <w:spacing w:after="160"/>
            </w:pPr>
            <w:r>
              <w:rPr>
                <w:rStyle w:val="row-content-rich-text"/>
              </w:rPr>
              <w:t xml:space="preserve">CODE 8   Other loss</w:t>
            </w:r>
          </w:p>
          <w:p>
            <w:pPr>
              <w:spacing w:after="160"/>
            </w:pPr>
            <w:r>
              <w:rPr>
                <w:rStyle w:val="row-content-rich-text"/>
              </w:rPr>
              <w:t xml:space="preserve">'Other loss' includes any other loss, not covered by the other codes for which the patient is compensated.</w:t>
            </w:r>
          </w:p>
          <w:p>
            <w:pPr>
              <w:spacing w:after="160"/>
            </w:pPr>
            <w:r>
              <w:rPr>
                <w:rStyle w:val="row-content-rich-text"/>
              </w:rPr>
              <w:t xml:space="preserve">CODE 9   No payment to patient</w:t>
            </w:r>
          </w:p>
          <w:p>
            <w:pPr>
              <w:spacing w:after="160"/>
            </w:pPr>
            <w:r>
              <w:rPr>
                <w:rStyle w:val="row-content-rich-text"/>
              </w:rPr>
              <w:t xml:space="preserve">'No payment to patient' should be recorded where a medical indemnity claim is closed and no compensatory payment has been made to the patient.</w:t>
            </w:r>
          </w:p>
          <w:p>
            <w:pPr>
              <w:spacing w:after="160"/>
            </w:pPr>
            <w:r>
              <w:rPr>
                <w:rStyle w:val="row-content-rich-text"/>
              </w:rPr>
              <w:t xml:space="preserve">CODE 97   Not applicable—patient is not a claimant</w:t>
            </w:r>
          </w:p>
          <w:p>
            <w:pPr>
              <w:spacing w:after="160"/>
            </w:pPr>
            <w:r>
              <w:rPr>
                <w:rStyle w:val="row-content-rich-text"/>
              </w:rPr>
              <w:t xml:space="preserve">'Not applicable—patient is not a claimant' should be recorded where a medical indemnity claim is based on an allegation of loss to an other party, not the patient. For example, where the claimant (‘other party’) is a spouse claiming for nervous shock allegedly suffered as a result of the injuries to the patient.</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r>
              <w:br/>
            </w:r>
            <w:r>
              <w:rPr>
                <w:rStyle w:val="row-content-rich-text"/>
              </w:rPr>
              <w:t xml:space="preserve"> </w:t>
            </w:r>
          </w:p>
          <w:p>
            <w:pPr/>
            <w:r>
              <w:rPr>
                <w:rStyle w:val="row-content-rich-text"/>
              </w:rPr>
              <w:t xml:space="preserve">More than one code (excluding Code 99) may be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bfd00ee05444c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362f15a4464b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de00d19e3d4454">
              <w:r>
                <w:rPr>
                  <w:rStyle w:val="Hyperlink"/>
                </w:rPr>
                <w:t xml:space="preserve">Medical indemnity claim—type of compensatory payment to other party, code N[N]</w:t>
              </w:r>
            </w:hyperlink>
          </w:p>
          <w:p>
            <w:pPr>
              <w:pStyle w:val="registration-status"/>
              <w:spacing w:before="0" w:after="0"/>
            </w:pPr>
            <w:hyperlink w:history="true" r:id="Re4da175c7df841d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c096e03f14c47">
              <w:r>
                <w:rPr>
                  <w:rStyle w:val="Hyperlink"/>
                </w:rPr>
                <w:t xml:space="preserve">Medical indemnity DSS 2012-14</w:t>
              </w:r>
            </w:hyperlink>
          </w:p>
          <w:p>
            <w:pPr>
              <w:pStyle w:val="registration-status"/>
              <w:spacing w:before="0" w:after="0"/>
            </w:pPr>
            <w:hyperlink w:history="true" r:id="R4159c3e42c644892">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26e8be0310c4b05">
              <w:r>
                <w:rPr>
                  <w:rStyle w:val="Hyperlink"/>
                </w:rPr>
                <w:t xml:space="preserve">Medical indemnity NBPDS 2014-</w:t>
              </w:r>
            </w:hyperlink>
          </w:p>
          <w:p>
            <w:pPr>
              <w:pStyle w:val="registration-status"/>
              <w:spacing w:before="0" w:after="0"/>
            </w:pPr>
            <w:hyperlink w:history="true" r:id="R40c65e93e0dc488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e673387ebe4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b50ceff49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73387ebe44311" /><Relationship Type="http://schemas.openxmlformats.org/officeDocument/2006/relationships/header" Target="/word/header1.xml" Id="Ra8a0bde33a8a4977" /><Relationship Type="http://schemas.openxmlformats.org/officeDocument/2006/relationships/settings" Target="/word/settings.xml" Id="R9e3ffdbee4704ecf" /><Relationship Type="http://schemas.openxmlformats.org/officeDocument/2006/relationships/styles" Target="/word/styles.xml" Id="Rb71e7cf191154e2c" /><Relationship Type="http://schemas.openxmlformats.org/officeDocument/2006/relationships/hyperlink" Target="https://meteor-uat.aihw.gov.au/RegistrationAuthority/14" TargetMode="External" Id="Ra2bd1f2c587b4095" /><Relationship Type="http://schemas.openxmlformats.org/officeDocument/2006/relationships/hyperlink" Target="https://meteor-uat.aihw.gov.au/content/329786" TargetMode="External" Id="R7b5ac435163e43f8" /><Relationship Type="http://schemas.openxmlformats.org/officeDocument/2006/relationships/hyperlink" Target="https://meteor-uat.aihw.gov.au/content/329793" TargetMode="External" Id="R8579c99701e74322" /><Relationship Type="http://schemas.openxmlformats.org/officeDocument/2006/relationships/hyperlink" Target="https://meteor-uat.aihw.gov.au/content/246013" TargetMode="External" Id="R7fbfd00ee05444c2" /><Relationship Type="http://schemas.openxmlformats.org/officeDocument/2006/relationships/hyperlink" Target="https://meteor-uat.aihw.gov.au/content/246013" TargetMode="External" Id="R66362f15a4464bb8" /><Relationship Type="http://schemas.openxmlformats.org/officeDocument/2006/relationships/hyperlink" Target="https://meteor-uat.aihw.gov.au/content/329798" TargetMode="External" Id="R62de00d19e3d4454" /><Relationship Type="http://schemas.openxmlformats.org/officeDocument/2006/relationships/hyperlink" Target="https://meteor-uat.aihw.gov.au/RegistrationAuthority/14" TargetMode="External" Id="Re4da175c7df841dd" /><Relationship Type="http://schemas.openxmlformats.org/officeDocument/2006/relationships/hyperlink" Target="https://meteor-uat.aihw.gov.au/content/329638" TargetMode="External" Id="R9a9c096e03f14c47" /><Relationship Type="http://schemas.openxmlformats.org/officeDocument/2006/relationships/hyperlink" Target="https://meteor-uat.aihw.gov.au/RegistrationAuthority/14" TargetMode="External" Id="R4159c3e42c644892" /><Relationship Type="http://schemas.openxmlformats.org/officeDocument/2006/relationships/hyperlink" Target="https://meteor-uat.aihw.gov.au/content/531844" TargetMode="External" Id="R026e8be0310c4b05" /><Relationship Type="http://schemas.openxmlformats.org/officeDocument/2006/relationships/hyperlink" Target="https://meteor-uat.aihw.gov.au/RegistrationAuthority/14" TargetMode="External" Id="R40c65e93e0dc488f" /></Relationships>
</file>

<file path=word/_rels/header1.xml.rels>&#65279;<?xml version="1.0" encoding="utf-8"?><Relationships xmlns="http://schemas.openxmlformats.org/package/2006/relationships"><Relationship Type="http://schemas.openxmlformats.org/officeDocument/2006/relationships/image" Target="/media/image.png" Id="R950b50ceff4943ff" /></Relationships>
</file>