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6d87a9266a498c" /></Relationships>
</file>

<file path=word/document.xml><?xml version="1.0" encoding="utf-8"?>
<w:document xmlns:r="http://schemas.openxmlformats.org/officeDocument/2006/relationships" xmlns:w="http://schemas.openxmlformats.org/wordprocessingml/2006/main">
  <w:body>
    <w:p>
      <w:pPr>
        <w:pStyle w:val="Title"/>
      </w:pPr>
      <w:r>
        <w:t>Legal order/arrangement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order/arrangement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4e617d2c74d6d">
              <w:r>
                <w:rPr>
                  <w:rStyle w:val="Hyperlink"/>
                  <w:color w:val="244061"/>
                </w:rPr>
                <w:t xml:space="preserve">Community Services (retired)</w:t>
              </w:r>
            </w:hyperlink>
            <w:r>
              <w:rPr>
                <w:rStyle w:val="row-content"/>
                <w:color w:val="244061"/>
              </w:rPr>
              <w:t xml:space="preserve">, Standard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order or arrangement a person is a subject of or party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Juvenile justice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Involuntary mental health patient (under mental health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Restraining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legal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legal orders and arrangements listed above are a state responsibility and may vary across jurisdictions (for example, the number and type of care and protection orders vary quite considerably). As a result care should be taken in interpreting data differences across jurisdictions.</w:t>
            </w:r>
          </w:p>
          <w:p>
            <w:pPr>
              <w:spacing w:after="160"/>
            </w:pPr>
            <w:r>
              <w:rPr>
                <w:rStyle w:val="row-content-rich-text"/>
              </w:rPr>
              <w:t xml:space="preserve">CODE 0    Not applicable</w:t>
            </w:r>
          </w:p>
          <w:p>
            <w:pPr>
              <w:spacing w:after="160"/>
            </w:pPr>
            <w:r>
              <w:rPr>
                <w:rStyle w:val="row-content-rich-text"/>
              </w:rPr>
              <w:t xml:space="preserve">To be used where there is no legal order/arrangement in effect.</w:t>
            </w:r>
          </w:p>
          <w:p>
            <w:pPr>
              <w:spacing w:after="160"/>
            </w:pPr>
            <w:r>
              <w:rPr>
                <w:rStyle w:val="row-content-rich-text"/>
              </w:rPr>
              <w:t xml:space="preserve">CODE 1    Care and protection orders:</w:t>
            </w:r>
          </w:p>
          <w:p>
            <w:pPr>
              <w:spacing w:after="160"/>
            </w:pPr>
            <w:r>
              <w:rPr>
                <w:rStyle w:val="row-content-rich-text"/>
              </w:rPr>
              <w:t xml:space="preserve">A legal order for the care and protection of a child under 18 years of age. Care and protection orders comprise the following:</w:t>
            </w:r>
          </w:p>
          <w:p>
            <w:pPr>
              <w:pStyle w:val="ListParagraph"/>
              <w:numPr>
                <w:ilvl w:val="0"/>
                <w:numId w:val="2"/>
              </w:numPr>
            </w:pPr>
            <w:r>
              <w:rPr>
                <w:rStyle w:val="row-content-rich-text"/>
              </w:rPr>
              <w:t xml:space="preserve">finalised guardianship or finalised custody orders sought through a court, or administrative arrangements that have the impact of transferring custody or guardianship;</w:t>
            </w:r>
          </w:p>
          <w:p>
            <w:pPr>
              <w:pStyle w:val="ListParagraph"/>
              <w:numPr>
                <w:ilvl w:val="0"/>
                <w:numId w:val="2"/>
              </w:numPr>
            </w:pPr>
            <w:r>
              <w:rPr>
                <w:rStyle w:val="row-content-rich-text"/>
              </w:rPr>
              <w:t xml:space="preserve">finalised supervisory and other finalised court orders which give the department some responsibility for the child's welfare; and</w:t>
            </w:r>
          </w:p>
          <w:p>
            <w:pPr>
              <w:pStyle w:val="ListParagraph"/>
              <w:numPr>
                <w:ilvl w:val="0"/>
                <w:numId w:val="2"/>
              </w:numPr>
            </w:pPr>
            <w:r>
              <w:rPr>
                <w:rStyle w:val="row-content-rich-text"/>
              </w:rPr>
              <w:t xml:space="preserve">interim and temporary orders and care applications.</w:t>
            </w:r>
          </w:p>
          <w:p>
            <w:pPr>
              <w:spacing w:after="160"/>
            </w:pPr>
            <w:r>
              <w:rPr>
                <w:rStyle w:val="row-content-rich-text"/>
              </w:rPr>
              <w:t xml:space="preserve">Care and protection orders exclude administrative and voluntary arrangements with the community services departments that do not have the effect of transferring custody or guardianship.</w:t>
            </w:r>
          </w:p>
          <w:p>
            <w:pPr>
              <w:spacing w:after="160"/>
            </w:pPr>
            <w:r>
              <w:rPr>
                <w:rStyle w:val="row-content-rich-text"/>
              </w:rPr>
              <w:t xml:space="preserve">There is a wide range of orders and arrangements included as care and protection orders, such as guardianship, custody, supervisory, undertakings, interim and temporary orders and undertakings. The types and numbers of orders vary considerably across states and territories.</w:t>
            </w:r>
          </w:p>
          <w:p>
            <w:pPr>
              <w:spacing w:after="160"/>
            </w:pPr>
            <w:r>
              <w:rPr>
                <w:rStyle w:val="row-content-rich-text"/>
              </w:rPr>
              <w:t xml:space="preserve">CODE 2     Juvenile Justice orders:</w:t>
            </w:r>
          </w:p>
          <w:p>
            <w:pPr>
              <w:spacing w:after="160"/>
            </w:pPr>
            <w:r>
              <w:rPr>
                <w:rStyle w:val="row-content-rich-text"/>
              </w:rPr>
              <w:t xml:space="preserve">Legal orders or arrangements under state and territory juvenile justice legislation. Includes orders involving detention and non-detention (non-detention orders may require supervision, commitments or undertakings from young people, fines and good behaviour bonds).</w:t>
            </w:r>
          </w:p>
          <w:p>
            <w:pPr>
              <w:spacing w:after="160"/>
            </w:pPr>
            <w:r>
              <w:rPr>
                <w:rStyle w:val="row-content-rich-text"/>
              </w:rPr>
              <w:t xml:space="preserve">CODE 3     Involuntary mental health patient:</w:t>
            </w:r>
          </w:p>
          <w:p>
            <w:pPr>
              <w:spacing w:after="160"/>
            </w:pPr>
            <w:r>
              <w:rPr>
                <w:rStyle w:val="row-content-rich-text"/>
              </w:rPr>
              <w:t xml:space="preserve">Approval is required under the state or territory mental health legislation in order to detain patients for the provision of mental health care or for patients to be treated compulsorily in the community.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w:t>
            </w:r>
          </w:p>
          <w:p>
            <w:pPr/>
            <w:r>
              <w:rPr>
                <w:rStyle w:val="row-content-rich-text"/>
              </w:rPr>
              <w:t xml:space="preserve">The mental health legal status of admitted patients treated within approved hospitals may change many times throughout the episode of care. 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44732f59674517">
              <w:r>
                <w:rPr>
                  <w:rStyle w:val="Hyperlink"/>
                </w:rPr>
                <w:t xml:space="preserve">Legal order/arrangement type code N{.N}</w:t>
              </w:r>
            </w:hyperlink>
          </w:p>
          <w:p>
            <w:pPr>
              <w:pStyle w:val="registration-status"/>
              <w:spacing w:before="0" w:after="0"/>
            </w:pPr>
            <w:hyperlink w:history="true" r:id="R58ac9fecb7a640a7">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0e2a686bca466b">
              <w:r>
                <w:rPr>
                  <w:rStyle w:val="Hyperlink"/>
                </w:rPr>
                <w:t xml:space="preserve">Person—legal order/arrangement type, code N</w:t>
              </w:r>
            </w:hyperlink>
          </w:p>
          <w:p>
            <w:pPr>
              <w:pStyle w:val="registration-status"/>
              <w:spacing w:before="0" w:after="0"/>
            </w:pPr>
            <w:hyperlink w:history="true" r:id="Re3605ba2b09c4858">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4e8cddc7ff62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360048205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cddc7ff62492b" /><Relationship Type="http://schemas.openxmlformats.org/officeDocument/2006/relationships/header" Target="/word/header1.xml" Id="Raccd625a47594707" /><Relationship Type="http://schemas.openxmlformats.org/officeDocument/2006/relationships/settings" Target="/word/settings.xml" Id="R7b2e1715d0904aa8" /><Relationship Type="http://schemas.openxmlformats.org/officeDocument/2006/relationships/styles" Target="/word/styles.xml" Id="R4e4d82f0ae5f4e74" /><Relationship Type="http://schemas.openxmlformats.org/officeDocument/2006/relationships/numbering" Target="/word/numbering.xml" Id="R2ddf0be953154783" /><Relationship Type="http://schemas.openxmlformats.org/officeDocument/2006/relationships/hyperlink" Target="https://meteor-uat.aihw.gov.au/RegistrationAuthority/3" TargetMode="External" Id="R64b4e617d2c74d6d" /><Relationship Type="http://schemas.openxmlformats.org/officeDocument/2006/relationships/hyperlink" Target="https://meteor-uat.aihw.gov.au/content/270888" TargetMode="External" Id="Re144732f59674517" /><Relationship Type="http://schemas.openxmlformats.org/officeDocument/2006/relationships/hyperlink" Target="https://meteor-uat.aihw.gov.au/RegistrationAuthority/3" TargetMode="External" Id="R58ac9fecb7a640a7" /><Relationship Type="http://schemas.openxmlformats.org/officeDocument/2006/relationships/hyperlink" Target="https://meteor-uat.aihw.gov.au/content/324835" TargetMode="External" Id="Rf10e2a686bca466b" /><Relationship Type="http://schemas.openxmlformats.org/officeDocument/2006/relationships/hyperlink" Target="https://meteor-uat.aihw.gov.au/RegistrationAuthority/3" TargetMode="External" Id="Re3605ba2b09c4858" /></Relationships>
</file>

<file path=word/_rels/header1.xml.rels>&#65279;<?xml version="1.0" encoding="utf-8"?><Relationships xmlns="http://schemas.openxmlformats.org/package/2006/relationships"><Relationship Type="http://schemas.openxmlformats.org/officeDocument/2006/relationships/image" Target="/media/image.png" Id="R5b836004820544a9" /></Relationships>
</file>