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a45467d60b48b4" /></Relationships>
</file>

<file path=word/document.xml><?xml version="1.0" encoding="utf-8"?>
<w:document xmlns:r="http://schemas.openxmlformats.org/officeDocument/2006/relationships" xmlns:w="http://schemas.openxmlformats.org/wordprocessingml/2006/main">
  <w:body>
    <w:p>
      <w:pPr>
        <w:pStyle w:val="Title"/>
      </w:pPr>
      <w:r>
        <w:t>Person—source of cash income (all)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3e9fcd45a4bea">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any part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metadata item is an indicator of the needs and circumstances of individuals and sometimes, used in assessment of income equity.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b9458757fe438b">
              <w:r>
                <w:rPr>
                  <w:rStyle w:val="Hyperlink"/>
                </w:rPr>
                <w:t xml:space="preserve">Person—source of cash income (all)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1e2a1ad3f54b20">
              <w:r>
                <w:rPr>
                  <w:rStyle w:val="Hyperlink"/>
                </w:rPr>
                <w:t xml:space="preserve">Source of cash income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Unincorporated business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Centrelink pensions for the aged and persons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Superannuation/annuities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Scholarships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Other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domain categories shown above are directly mappable to the narrow sources of cash income specified in the Statistical Concepts Library of the Australian Bureau of Statistics. </w:t>
            </w:r>
            <w:r>
              <w:rPr>
                <w:rStyle w:val="row-content-rich-text"/>
              </w:rPr>
              <w:t xml:space="preserve">This is a three level hierarchical classification and is described at the broad (one-digit), narrow (two-digit) and detailed (four-digit) levels.</w:t>
            </w:r>
          </w:p>
          <w:p>
            <w:pPr>
              <w:spacing w:after="160"/>
            </w:pPr>
            <w:r>
              <w:rPr>
                <w:rStyle w:val="row-content-rich-text"/>
              </w:rPr>
              <w:t xml:space="preserve">This value domain uses the two-digit level. Each of the levels may be associated with one or more sub-categories that may be coded at the 4-digit level if desired.  </w:t>
            </w:r>
          </w:p>
          <w:p>
            <w:pPr>
              <w:spacing w:after="160"/>
            </w:pPr>
            <w:r>
              <w:rPr>
                <w:rStyle w:val="row-content-rich-text"/>
              </w:rPr>
              <w:t xml:space="preserve">CODE 11 Employee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CODE 21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47f225e64c5444d5">
              <w:r>
                <w:rPr>
                  <w:rStyle w:val="Hyperlink"/>
                  <w:b/>
                </w:rPr>
                <w:t xml:space="preserve">Unincorporated business </w:t>
              </w:r>
            </w:hyperlink>
            <w:r>
              <w:rPr>
                <w:rStyle w:val="row-content-rich-text"/>
              </w:rPr>
              <w:t xml:space="preserve">cash income:</w:t>
            </w:r>
          </w:p>
          <w:p>
            <w:pPr>
              <w:spacing w:after="160"/>
            </w:pPr>
            <w:r>
              <w:rPr>
                <w:rStyle w:val="row-content-rich-text"/>
              </w:rPr>
              <w:t xml:space="preserve">Unincorporated business cash income is net of operating expenses including: labour costs in the form of wages, salaries and supplements; the value of raw materials and services purchased; the repair and maintenance of equipment (including vehicles); the purchase of fuel; indirect taxes; interest paid in connection with the business; and rent paid for buildings and land used in the business. Unincorporated business cash income is also net of depreciation of capital, such as machinery, vehicles and tools used in the business.</w:t>
            </w:r>
          </w:p>
          <w:p>
            <w:pPr>
              <w:spacing w:after="160"/>
            </w:pPr>
            <w:r>
              <w:rPr>
                <w:rStyle w:val="row-content-rich-text"/>
              </w:rPr>
              <w:t xml:space="preserve">CODE 41 Property cash income:</w:t>
            </w:r>
          </w:p>
          <w:p>
            <w:pPr>
              <w:spacing w:after="160"/>
            </w:pPr>
            <w:r>
              <w:rPr>
                <w:rStyle w:val="row-content-rich-text"/>
              </w:rPr>
              <w:t xml:space="preserve">Includes cash income deriving from the ownership of assets; it comprises returns from financial assets (interest, dividend) from physical assets (rent) and from intellectual assets (royalties).</w:t>
            </w:r>
          </w:p>
          <w:p>
            <w:pPr>
              <w:spacing w:after="160"/>
            </w:pPr>
            <w:r>
              <w:rPr>
                <w:rStyle w:val="row-content-rich-text"/>
              </w:rPr>
              <w:t xml:space="preserve">CODE 43 Transfers from private organisations:</w:t>
            </w:r>
          </w:p>
          <w:p>
            <w:pPr>
              <w:spacing w:after="160"/>
            </w:pPr>
            <w:r>
              <w:rPr>
                <w:rStyle w:val="row-content-rich-text"/>
              </w:rPr>
              <w:t xml:space="preserve">Includes payments from workers compensation, insurance companies etc.</w:t>
            </w:r>
          </w:p>
          <w:p>
            <w:pPr>
              <w:spacing w:after="160"/>
            </w:pPr>
            <w:r>
              <w:rPr>
                <w:rStyle w:val="row-content-rich-text"/>
              </w:rPr>
              <w:t xml:space="preserve">CODE 44 Transfers from other households:</w:t>
            </w:r>
          </w:p>
          <w:p>
            <w:pPr/>
            <w:r>
              <w:rPr>
                <w:rStyle w:val="row-content-rich-text"/>
              </w:rPr>
              <w:t xml:space="preserve">Includes payments from such sources as child support payments, gifts from relatives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note the differences between this Value domain and the ABS classification (that is, Codes 41, 42, 43, 44, 45 and 49 are mappable to the classification codes 91, 92, 93, 94, 95 and 99. In this value domain code 88 and 99 are supplementary values.).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for the National Community Services Data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d0ba5512aaf64e27">
              <w:r>
                <w:rPr>
                  <w:rStyle w:val="Hyperlink"/>
                </w:rPr>
                <w:t xml:space="preserve">Ausstats Standards for Social, Labour and Demographic Variables, Cash Income Variables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sources of cash income are included in this concept.</w:t>
            </w:r>
          </w:p>
          <w:p>
            <w:pPr>
              <w:spacing w:after="160"/>
            </w:pPr>
            <w:r>
              <w:rPr>
                <w:rStyle w:val="row-content-rich-text"/>
              </w:rPr>
              <w:t xml:space="preserve">Cash income may be received from employment (Employee cash income), as a profit or loss from an unincorporated enterprise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adb3a2b916044e72">
              <w:r>
                <w:rPr>
                  <w:rStyle w:val="Hyperlink"/>
                  <w:b/>
                </w:rPr>
                <w:t xml:space="preserve">Unincorporated business</w:t>
              </w:r>
            </w:hyperlink>
            <w:r>
              <w:rPr>
                <w:rStyle w:val="row-content-rich-text"/>
              </w:rPr>
              <w:t xml:space="preserve"> cash income), from the ownership of assets (Property cash income). Income may also be derived from current transfers from government (pensions and benefits) or from private sources, such as superannuation funds. An individual may receive cash income from more than one source.</w:t>
            </w:r>
          </w:p>
          <w:p>
            <w:pPr/>
            <w:r>
              <w:rPr>
                <w:rStyle w:val="row-content-rich-text"/>
              </w:rPr>
              <w:t xml:space="preserve">Excluded from this concept is income in kind e.g. barter for goods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person has multiple sources of income, all sources should be counted.</w:t>
            </w:r>
          </w:p>
          <w:p>
            <w:pPr>
              <w:spacing w:after="160"/>
            </w:pPr>
            <w:r>
              <w:rPr>
                <w:rStyle w:val="row-content-rich-text"/>
              </w:rPr>
              <w:t xml:space="preserve">This question is not asked of person's aged less than 15 years because they are generally dependants. </w:t>
            </w:r>
          </w:p>
          <w:p>
            <w:pPr>
              <w:spacing w:after="160"/>
            </w:pPr>
            <w:r>
              <w:rPr>
                <w:rStyle w:val="row-content-rich-text"/>
              </w:rPr>
              <w:t xml:space="preserve">While this standard requires collection of data at the 2-digit level, some agencies may wish to collect at the 4-digit level for their own purposes. The 4-digit level is detailed below:</w:t>
            </w:r>
          </w:p>
          <w:p>
            <w:pPr>
              <w:spacing w:after="160"/>
            </w:pPr>
            <w:r>
              <w:rPr>
                <w:rStyle w:val="row-content-rich-text"/>
                <w:u w:val="single"/>
              </w:rPr>
              <w:t xml:space="preserve">Detailed (four-digit) level of sources of cash income</w:t>
            </w:r>
          </w:p>
          <w:p>
            <w:pPr/>
            <w:r>
              <w:rPr>
                <w:rStyle w:val="row-content-rich-text"/>
              </w:rPr>
              <w:t xml:space="preserve">1101 Employee cash income</w:t>
            </w:r>
            <w:r>
              <w:br/>
            </w:r>
            <w:r>
              <w:rPr>
                <w:rStyle w:val="row-content-rich-text"/>
              </w:rPr>
              <w:t xml:space="preserve">2101 Unincorporated business cash income</w:t>
            </w:r>
            <w:r>
              <w:br/>
            </w:r>
            <w:r>
              <w:rPr>
                <w:rStyle w:val="row-content-rich-text"/>
              </w:rPr>
              <w:t xml:space="preserve">3101 Newstart allowance</w:t>
            </w:r>
            <w:r>
              <w:br/>
            </w:r>
            <w:r>
              <w:rPr>
                <w:rStyle w:val="row-content-rich-text"/>
              </w:rPr>
              <w:t xml:space="preserve">3102 Youth allowance</w:t>
            </w:r>
            <w:r>
              <w:br/>
            </w:r>
            <w:r>
              <w:rPr>
                <w:rStyle w:val="row-content-rich-text"/>
              </w:rPr>
              <w:t xml:space="preserve">3103 Mature age allowance</w:t>
            </w:r>
            <w:r>
              <w:br/>
            </w:r>
            <w:r>
              <w:rPr>
                <w:rStyle w:val="row-content-rich-text"/>
              </w:rPr>
              <w:t xml:space="preserve">3104 Sickness allowance</w:t>
            </w:r>
            <w:r>
              <w:br/>
            </w:r>
            <w:r>
              <w:rPr>
                <w:rStyle w:val="row-content-rich-text"/>
              </w:rPr>
              <w:t xml:space="preserve">3105 Austudy payment</w:t>
            </w:r>
            <w:r>
              <w:br/>
            </w:r>
            <w:r>
              <w:rPr>
                <w:rStyle w:val="row-content-rich-text"/>
              </w:rPr>
              <w:t xml:space="preserve">3106 ABSTUDY payment</w:t>
            </w:r>
            <w:r>
              <w:br/>
            </w:r>
            <w:r>
              <w:rPr>
                <w:rStyle w:val="row-content-rich-text"/>
              </w:rPr>
              <w:t xml:space="preserve">3201 Age pension</w:t>
            </w:r>
            <w:r>
              <w:br/>
            </w:r>
            <w:r>
              <w:rPr>
                <w:rStyle w:val="row-content-rich-text"/>
              </w:rPr>
              <w:t xml:space="preserve">3202 Disability support pension</w:t>
            </w:r>
            <w:r>
              <w:br/>
            </w:r>
            <w:r>
              <w:rPr>
                <w:rStyle w:val="row-content-rich-text"/>
              </w:rPr>
              <w:t xml:space="preserve">3901 Family Tax Benefit (Parts A and B)</w:t>
            </w:r>
            <w:r>
              <w:br/>
            </w:r>
            <w:r>
              <w:rPr>
                <w:rStyle w:val="row-content-rich-text"/>
              </w:rPr>
              <w:t xml:space="preserve">3902 Parenting Payment</w:t>
            </w:r>
            <w:r>
              <w:br/>
            </w:r>
            <w:r>
              <w:rPr>
                <w:rStyle w:val="row-content-rich-text"/>
              </w:rPr>
              <w:t xml:space="preserve">3903 Double Orphan Pension</w:t>
            </w:r>
            <w:r>
              <w:br/>
            </w:r>
            <w:r>
              <w:rPr>
                <w:rStyle w:val="row-content-rich-text"/>
              </w:rPr>
              <w:t xml:space="preserve">3904 Carer Allowance</w:t>
            </w:r>
            <w:r>
              <w:br/>
            </w:r>
            <w:r>
              <w:rPr>
                <w:rStyle w:val="row-content-rich-text"/>
              </w:rPr>
              <w:t xml:space="preserve">3905 Wife Pension</w:t>
            </w:r>
            <w:r>
              <w:br/>
            </w:r>
            <w:r>
              <w:rPr>
                <w:rStyle w:val="row-content-rich-text"/>
              </w:rPr>
              <w:t xml:space="preserve">3906 Bereavement Allowance</w:t>
            </w:r>
            <w:r>
              <w:br/>
            </w:r>
            <w:r>
              <w:rPr>
                <w:rStyle w:val="row-content-rich-text"/>
              </w:rPr>
              <w:t xml:space="preserve">3907 Widow Allowance (Widow B Pension)</w:t>
            </w:r>
            <w:r>
              <w:br/>
            </w:r>
            <w:r>
              <w:rPr>
                <w:rStyle w:val="row-content-rich-text"/>
              </w:rPr>
              <w:t xml:space="preserve">3908 Carer Payment </w:t>
            </w:r>
            <w:r>
              <w:br/>
            </w:r>
            <w:r>
              <w:rPr>
                <w:rStyle w:val="row-content-rich-text"/>
              </w:rPr>
              <w:t xml:space="preserve">3911 Service pension (DVA)</w:t>
            </w:r>
            <w:r>
              <w:br/>
            </w:r>
            <w:r>
              <w:rPr>
                <w:rStyle w:val="row-content-rich-text"/>
              </w:rPr>
              <w:t xml:space="preserve">3912 Disability pension (DVA)</w:t>
            </w:r>
            <w:r>
              <w:br/>
            </w:r>
            <w:r>
              <w:rPr>
                <w:rStyle w:val="row-content-rich-text"/>
              </w:rPr>
              <w:t xml:space="preserve">3913 Partner Allowance</w:t>
            </w:r>
            <w:r>
              <w:br/>
            </w:r>
            <w:r>
              <w:rPr>
                <w:rStyle w:val="row-content-rich-text"/>
              </w:rPr>
              <w:t xml:space="preserve">3914 War Widow's Pension (DVA) </w:t>
            </w:r>
            <w:r>
              <w:br/>
            </w:r>
            <w:r>
              <w:rPr>
                <w:rStyle w:val="row-content-rich-text"/>
              </w:rPr>
              <w:t xml:space="preserve">3915 Special Benefit</w:t>
            </w:r>
            <w:r>
              <w:br/>
            </w:r>
            <w:r>
              <w:rPr>
                <w:rStyle w:val="row-content-rich-text"/>
              </w:rPr>
              <w:t xml:space="preserve">3916 Mobility Allowance</w:t>
            </w:r>
            <w:r>
              <w:br/>
            </w:r>
            <w:r>
              <w:rPr>
                <w:rStyle w:val="row-content-rich-text"/>
              </w:rPr>
              <w:t xml:space="preserve">3917 CDEP Participant Supplement</w:t>
            </w:r>
            <w:r>
              <w:br/>
            </w:r>
            <w:r>
              <w:rPr>
                <w:rStyle w:val="row-content-rich-text"/>
              </w:rPr>
              <w:t xml:space="preserve">3918 Pensions and allowances from overseas governments </w:t>
            </w:r>
            <w:r>
              <w:br/>
            </w:r>
            <w:r>
              <w:rPr>
                <w:rStyle w:val="row-content-rich-text"/>
              </w:rPr>
              <w:t xml:space="preserve">3999 Other Government cash pensions and allowances, n.e.c</w:t>
            </w:r>
            <w:r>
              <w:br/>
            </w:r>
            <w:r>
              <w:rPr>
                <w:rStyle w:val="row-content-rich-text"/>
              </w:rPr>
              <w:t xml:space="preserve">4101 Interest</w:t>
            </w:r>
            <w:r>
              <w:br/>
            </w:r>
            <w:r>
              <w:rPr>
                <w:rStyle w:val="row-content-rich-text"/>
              </w:rPr>
              <w:t xml:space="preserve">4102 Dividends</w:t>
            </w:r>
            <w:r>
              <w:br/>
            </w:r>
            <w:r>
              <w:rPr>
                <w:rStyle w:val="row-content-rich-text"/>
              </w:rPr>
              <w:t xml:space="preserve">4103 Rent</w:t>
            </w:r>
            <w:r>
              <w:br/>
            </w:r>
            <w:r>
              <w:rPr>
                <w:rStyle w:val="row-content-rich-text"/>
              </w:rPr>
              <w:t xml:space="preserve">4104 Royalties</w:t>
            </w:r>
            <w:r>
              <w:br/>
            </w:r>
            <w:r>
              <w:rPr>
                <w:rStyle w:val="row-content-rich-text"/>
              </w:rPr>
              <w:t xml:space="preserve">4199 Other property cash income, n.e.c</w:t>
            </w:r>
            <w:r>
              <w:br/>
            </w:r>
            <w:r>
              <w:rPr>
                <w:rStyle w:val="row-content-rich-text"/>
              </w:rPr>
              <w:t xml:space="preserve">4201 Superannuation/annuities</w:t>
            </w:r>
            <w:r>
              <w:br/>
            </w:r>
            <w:r>
              <w:rPr>
                <w:rStyle w:val="row-content-rich-text"/>
              </w:rPr>
              <w:t xml:space="preserve">4301 Workers compensation/sickness/accident insurance</w:t>
            </w:r>
            <w:r>
              <w:br/>
            </w:r>
            <w:r>
              <w:rPr>
                <w:rStyle w:val="row-content-rich-text"/>
              </w:rPr>
              <w:t xml:space="preserve">4399 Other transfers from private organisations, n.e.c</w:t>
            </w:r>
            <w:r>
              <w:br/>
            </w:r>
            <w:r>
              <w:rPr>
                <w:rStyle w:val="row-content-rich-text"/>
              </w:rPr>
              <w:t xml:space="preserve">4401 Child support</w:t>
            </w:r>
            <w:r>
              <w:br/>
            </w:r>
            <w:r>
              <w:rPr>
                <w:rStyle w:val="row-content-rich-text"/>
              </w:rPr>
              <w:t xml:space="preserve">4402 Gifts from relatives</w:t>
            </w:r>
            <w:r>
              <w:br/>
            </w:r>
            <w:r>
              <w:rPr>
                <w:rStyle w:val="row-content-rich-text"/>
              </w:rPr>
              <w:t xml:space="preserve">4499 Other cash transfers from other households, n.e.c</w:t>
            </w:r>
            <w:r>
              <w:br/>
            </w:r>
            <w:r>
              <w:rPr>
                <w:rStyle w:val="row-content-rich-text"/>
              </w:rPr>
              <w:t xml:space="preserve">4501 Scholarships</w:t>
            </w:r>
            <w:r>
              <w:br/>
            </w:r>
            <w:r>
              <w:rPr>
                <w:rStyle w:val="row-content-rich-text"/>
              </w:rPr>
              <w:t xml:space="preserve">4999 Other cash income, n.e.c</w:t>
            </w:r>
            <w:r>
              <w:br/>
            </w:r>
            <w:r>
              <w:rPr>
                <w:rStyle w:val="row-content-rich-text"/>
              </w:rPr>
              <w:t xml:space="preserve">8888 Nil income</w:t>
            </w:r>
            <w:r>
              <w:br/>
            </w:r>
            <w:r>
              <w:rPr>
                <w:rStyle w:val="row-content-rich-text"/>
              </w:rPr>
              <w:t xml:space="preserve">9999 Not stated/not known/inadequately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a4ba09ed694b85">
              <w:r>
                <w:rPr>
                  <w:rStyle w:val="Hyperlink"/>
                </w:rPr>
                <w:t xml:space="preserve">Person—income source (cash), code N{.N}</w:t>
              </w:r>
            </w:hyperlink>
          </w:p>
          <w:p>
            <w:pPr>
              <w:pStyle w:val="registration-status"/>
              <w:spacing w:before="0" w:after="0"/>
            </w:pPr>
            <w:hyperlink w:history="true" r:id="R29939c5052ec491d">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28f91752cfad49e6">
              <w:r>
                <w:rPr>
                  <w:rStyle w:val="Hyperlink"/>
                </w:rPr>
                <w:t xml:space="preserve">Person—source of cash income (all) code NN</w:t>
              </w:r>
            </w:hyperlink>
          </w:p>
          <w:p>
            <w:pPr>
              <w:pStyle w:val="registration-status"/>
              <w:spacing w:before="0" w:after="0"/>
            </w:pPr>
            <w:hyperlink w:history="true" r:id="R24ed6537a6cb4995">
              <w:r>
                <w:rPr>
                  <w:rStyle w:val="Hyperlink"/>
                  <w:color w:val="244061"/>
                </w:rPr>
                <w:t xml:space="preserve">Community Services (retired)</w:t>
              </w:r>
            </w:hyperlink>
            <w:r>
              <w:rPr>
                <w:rStyle w:val="row-content"/>
                <w:color w:val="244061"/>
              </w:rPr>
              <w:t xml:space="preserve">, Recorded 01/07/2009</w:t>
            </w:r>
          </w:p>
          <w:p>
            <w:r>
              <w:br/>
            </w:r>
            <w:r>
              <w:rPr>
                <w:rStyle w:val="row-content"/>
              </w:rPr>
              <w:t xml:space="preserve">Is re-engineered from </w:t>
            </w:r>
            <w:hyperlink w:history="true" r:id="R36e337dacc3d412b">
              <w:r>
                <w:drawing>
                  <wp:inline xmlns:wp="http://schemas.openxmlformats.org/drawingml/2006/wordprocessingDrawing" distT="0" distB="0" distL="0" distR="0">
                    <wp:extent cx="152400" cy="152400"/>
                    <wp:effectExtent l="19050" t="0" r="0" b="0"/>
                    <wp:docPr id="2" name="Picture 2" descr="">
                      <a:hlinkClick xmlns:a="http://schemas.openxmlformats.org/drawingml/2006/main" r:id="R36e337dacc3d412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2fc6a09263c45e9"/>
                            <a:srcRect/>
                            <a:stretch>
                              <a:fillRect/>
                            </a:stretch>
                          </pic:blipFill>
                          <pic:spPr bwMode="auto">
                            <a:xfrm>
                              <a:off x="0" y="0"/>
                              <a:ext cx="152400" cy="152400"/>
                            </a:xfrm>
                            <a:prstGeom prst="rect">
                              <a:avLst/>
                            </a:prstGeom>
                          </pic:spPr>
                        </pic:pic>
                      </a:graphicData>
                    </a:graphic>
                  </wp:inline>
                </w:drawing>
              </w:r>
              <w:r>
                <w:rPr>
                  <w:rStyle w:val="Hyperlink"/>
                </w:rPr>
                <w:t xml:space="preserve"> Sources of cash income, version 1, DE, NCSDD, NCSIMG, Superseded 01/03/2005.pdf</w:t>
              </w:r>
            </w:hyperlink>
          </w:p>
          <w:p>
            <w:r>
              <w:rPr>
                <w:rStyle w:val="row-content"/>
              </w:rPr>
              <w:t xml:space="preserve"> (18.7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54885e7c67b541c2">
              <w:r>
                <w:rPr>
                  <w:rStyle w:val="Hyperlink"/>
                </w:rPr>
                <w:t xml:space="preserve">Person—source of cash income (principal)</w:t>
              </w:r>
            </w:hyperlink>
          </w:p>
          <w:p>
            <w:pPr>
              <w:pStyle w:val="registration-status"/>
              <w:spacing w:before="0" w:after="0"/>
            </w:pPr>
            <w:hyperlink w:history="true" r:id="R714ec52aaa5e4d6b">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ea8520167df94da8">
              <w:r>
                <w:rPr>
                  <w:rStyle w:val="Hyperlink"/>
                  <w:color w:val="244061"/>
                </w:rPr>
                <w:t xml:space="preserve">Disability</w:t>
              </w:r>
            </w:hyperlink>
            <w:r>
              <w:rPr>
                <w:rStyle w:val="row-content"/>
                <w:color w:val="244061"/>
              </w:rPr>
              <w:t xml:space="preserve">, Superseded 28/09/2016</w:t>
            </w:r>
          </w:p>
          <w:p>
            <w:pPr>
              <w:pStyle w:val="registration-status"/>
              <w:spacing w:before="0" w:after="0"/>
            </w:pPr>
            <w:hyperlink w:history="true" r:id="Re43c27c2a2b14eb9">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48ad2d2c95764f95">
              <w:r>
                <w:rPr>
                  <w:rStyle w:val="Hyperlink"/>
                </w:rPr>
                <w:t xml:space="preserve">Person—source of cash income (principal), code N</w:t>
              </w:r>
            </w:hyperlink>
          </w:p>
          <w:p>
            <w:pPr>
              <w:pStyle w:val="registration-status"/>
              <w:spacing w:before="0" w:after="0"/>
            </w:pPr>
            <w:hyperlink w:history="true" r:id="R8c839ddfc3464263">
              <w:r>
                <w:rPr>
                  <w:rStyle w:val="Hyperlink"/>
                  <w:color w:val="244061"/>
                </w:rPr>
                <w:t xml:space="preserve">Community Services (retired)</w:t>
              </w:r>
            </w:hyperlink>
            <w:r>
              <w:rPr>
                <w:rStyle w:val="row-content"/>
                <w:color w:val="244061"/>
              </w:rPr>
              <w:t xml:space="preserve">, Standard 29/04/2006</w:t>
            </w:r>
          </w:p>
          <w:p>
            <w:r>
              <w:br/>
            </w:r>
          </w:p>
        </w:tc>
      </w:tr>
    </w:tbl>
    <w:p/>
    <w:tbl>
      <w:tblPr>
        <w:tblStyle w:val="TableGrid"/>
        <w:tblW w:w="0" w:type="auto"/>
      </w:tblPr>
    </w:tbl>
    <w:p>
      <w:r>
        <w:br/>
      </w:r>
    </w:p>
    <w:sectPr>
      <w:footerReference xmlns:r="http://schemas.openxmlformats.org/officeDocument/2006/relationships" w:type="default" r:id="Rf0e9191a15f6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95e54dea0d49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e9191a15f6454c" /><Relationship Type="http://schemas.openxmlformats.org/officeDocument/2006/relationships/header" Target="/word/header1.xml" Id="Rb0efa4e9a9da47b4" /><Relationship Type="http://schemas.openxmlformats.org/officeDocument/2006/relationships/settings" Target="/word/settings.xml" Id="R20678083dea747de" /><Relationship Type="http://schemas.openxmlformats.org/officeDocument/2006/relationships/styles" Target="/word/styles.xml" Id="R9d7f4c34289a4b91" /><Relationship Type="http://schemas.openxmlformats.org/officeDocument/2006/relationships/image" Target="/media/image.gif" Id="R62fc6a09263c45e9" /><Relationship Type="http://schemas.openxmlformats.org/officeDocument/2006/relationships/hyperlink" Target="https://meteor-uat.aihw.gov.au/RegistrationAuthority/3" TargetMode="External" Id="Reb23e9fcd45a4bea" /><Relationship Type="http://schemas.openxmlformats.org/officeDocument/2006/relationships/hyperlink" Target="https://meteor-uat.aihw.gov.au/content/321151" TargetMode="External" Id="Rf5b9458757fe438b" /><Relationship Type="http://schemas.openxmlformats.org/officeDocument/2006/relationships/hyperlink" Target="https://meteor-uat.aihw.gov.au/content/321053" TargetMode="External" Id="R2a1e2a1ad3f54b20" /><Relationship Type="http://schemas.openxmlformats.org/officeDocument/2006/relationships/hyperlink" Target="https://meteor-uat.aihw.gov.au/content/327462" TargetMode="External" Id="R47f225e64c5444d5" /><Relationship Type="http://schemas.openxmlformats.org/officeDocument/2006/relationships/hyperlink" Target="http://www.abs.gov.au/Ausstats/abs@.nsf/66f306f503e529a5ca25697e0017661f/3b68ad17755e9f33ca256e6200738de8!OpenDocument" TargetMode="External" Id="Rd0ba5512aaf64e27" /><Relationship Type="http://schemas.openxmlformats.org/officeDocument/2006/relationships/hyperlink" Target="https://meteor-uat.aihw.gov.au/content/327462" TargetMode="External" Id="Radb3a2b916044e72" /><Relationship Type="http://schemas.openxmlformats.org/officeDocument/2006/relationships/hyperlink" Target="https://meteor-uat.aihw.gov.au/content/270382" TargetMode="External" Id="R87a4ba09ed694b85" /><Relationship Type="http://schemas.openxmlformats.org/officeDocument/2006/relationships/hyperlink" Target="https://meteor-uat.aihw.gov.au/RegistrationAuthority/3" TargetMode="External" Id="R29939c5052ec491d" /><Relationship Type="http://schemas.openxmlformats.org/officeDocument/2006/relationships/hyperlink" Target="https://meteor-uat.aihw.gov.au/content/368032" TargetMode="External" Id="R28f91752cfad49e6" /><Relationship Type="http://schemas.openxmlformats.org/officeDocument/2006/relationships/hyperlink" Target="https://meteor-uat.aihw.gov.au/RegistrationAuthority/3" TargetMode="External" Id="R24ed6537a6cb4995" /><Relationship Type="http://schemas.openxmlformats.org/officeDocument/2006/relationships/hyperlink" Target="https://meteor-uat.aihw.gov.au/content/273519" TargetMode="External" Id="R36e337dacc3d412b" /><Relationship Type="http://schemas.openxmlformats.org/officeDocument/2006/relationships/hyperlink" Target="https://meteor-uat.aihw.gov.au/content/321061" TargetMode="External" Id="R54885e7c67b541c2" /><Relationship Type="http://schemas.openxmlformats.org/officeDocument/2006/relationships/hyperlink" Target="https://meteor-uat.aihw.gov.au/RegistrationAuthority/3" TargetMode="External" Id="R714ec52aaa5e4d6b" /><Relationship Type="http://schemas.openxmlformats.org/officeDocument/2006/relationships/hyperlink" Target="https://meteor-uat.aihw.gov.au/RegistrationAuthority/18" TargetMode="External" Id="Rea8520167df94da8" /><Relationship Type="http://schemas.openxmlformats.org/officeDocument/2006/relationships/hyperlink" Target="https://meteor-uat.aihw.gov.au/RegistrationAuthority/13" TargetMode="External" Id="Re43c27c2a2b14eb9" /><Relationship Type="http://schemas.openxmlformats.org/officeDocument/2006/relationships/hyperlink" Target="https://meteor-uat.aihw.gov.au/content/321063" TargetMode="External" Id="R48ad2d2c95764f95" /><Relationship Type="http://schemas.openxmlformats.org/officeDocument/2006/relationships/hyperlink" Target="https://meteor-uat.aihw.gov.au/RegistrationAuthority/3" TargetMode="External" Id="R8c839ddfc3464263" /></Relationships>
</file>

<file path=word/_rels/header1.xml.rels>&#65279;<?xml version="1.0" encoding="utf-8"?><Relationships xmlns="http://schemas.openxmlformats.org/package/2006/relationships"><Relationship Type="http://schemas.openxmlformats.org/officeDocument/2006/relationships/image" Target="/media/image.png" Id="R0795e54dea0d494c" /></Relationships>
</file>