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b7554fceaa42bd" /></Relationships>
</file>

<file path=word/document.xml><?xml version="1.0" encoding="utf-8"?>
<w:document xmlns:r="http://schemas.openxmlformats.org/officeDocument/2006/relationships" xmlns:w="http://schemas.openxmlformats.org/wordprocessingml/2006/main">
  <w:body>
    <w:p>
      <w:pPr>
        <w:pStyle w:val="Title"/>
      </w:pPr>
      <w:r>
        <w:t>Person—chronic health evaluation indicator, comorbidity code A(7)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Person—chronic health evaluation indicator, comorbidity code A(7)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Chronic health evaluation indicator (based on 7 comorbidities)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b99e8bcfed4fbc">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chronic health evaluation of a person related to evidence of organ insufficiency and/or immunodeficiency state represented by a set of seven comorbidity indicators.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Adult intensive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9486a98429453a">
              <w:r>
                <w:rPr>
                  <w:rStyle w:val="Hyperlink"/>
                </w:rPr>
                <w:t xml:space="preserve">Person—chronic health evaluation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9273bdc18945b4">
              <w:r>
                <w:rPr>
                  <w:rStyle w:val="Hyperlink"/>
                </w:rPr>
                <w:t xml:space="preserve">Chronic health evaluation comorbidity code A(7)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comorbidities can be recorded for the one hospital admission.</w:t>
            </w:r>
          </w:p>
          <w:p>
            <w:pPr>
              <w:spacing w:after="160"/>
            </w:pPr>
            <w:r>
              <w:rPr>
                <w:rStyle w:val="row-content-rich-text"/>
              </w:rPr>
              <w:t xml:space="preserve">Code Y     Comorbidity exists</w:t>
            </w:r>
          </w:p>
          <w:p>
            <w:pPr>
              <w:spacing w:after="160"/>
            </w:pPr>
            <w:r>
              <w:rPr>
                <w:rStyle w:val="row-content-rich-text"/>
              </w:rPr>
              <w:t xml:space="preserve">Code N     Comorbidity does not exist</w:t>
            </w:r>
          </w:p>
          <w:p>
            <w:pPr>
              <w:spacing w:after="160"/>
            </w:pPr>
            <w:r>
              <w:rPr>
                <w:rStyle w:val="row-content-rich-text"/>
              </w:rPr>
              <w:t xml:space="preserve">For each of the following evaluated clinical states, code Y if the comorbidity exists or code N if the comorbidity does not exist.</w:t>
            </w:r>
          </w:p>
          <w:p>
            <w:pPr>
              <w:pStyle w:val="ListParagraph"/>
              <w:numPr>
                <w:ilvl w:val="0"/>
                <w:numId w:val="2"/>
              </w:numPr>
            </w:pPr>
            <w:r>
              <w:rPr>
                <w:rStyle w:val="row-content-rich-text"/>
              </w:rPr>
              <w:t xml:space="preserve">AIDS</w:t>
            </w:r>
          </w:p>
          <w:p>
            <w:pPr>
              <w:pStyle w:val="ListParagraph"/>
              <w:numPr>
                <w:ilvl w:val="0"/>
                <w:numId w:val="2"/>
              </w:numPr>
            </w:pPr>
            <w:r>
              <w:rPr>
                <w:rStyle w:val="row-content-rich-text"/>
              </w:rPr>
              <w:t xml:space="preserve">hepatic failure</w:t>
            </w:r>
          </w:p>
          <w:p>
            <w:pPr>
              <w:pStyle w:val="ListParagraph"/>
              <w:numPr>
                <w:ilvl w:val="0"/>
                <w:numId w:val="2"/>
              </w:numPr>
            </w:pPr>
            <w:r>
              <w:rPr>
                <w:rStyle w:val="row-content-rich-text"/>
              </w:rPr>
              <w:t xml:space="preserve">lymphoma</w:t>
            </w:r>
          </w:p>
          <w:p>
            <w:pPr>
              <w:pStyle w:val="ListParagraph"/>
              <w:numPr>
                <w:ilvl w:val="0"/>
                <w:numId w:val="2"/>
              </w:numPr>
            </w:pPr>
            <w:r>
              <w:rPr>
                <w:rStyle w:val="row-content-rich-text"/>
              </w:rPr>
              <w:t xml:space="preserve">metastatic cancer</w:t>
            </w:r>
          </w:p>
          <w:p>
            <w:pPr>
              <w:pStyle w:val="ListParagraph"/>
              <w:numPr>
                <w:ilvl w:val="0"/>
                <w:numId w:val="2"/>
              </w:numPr>
            </w:pPr>
            <w:r>
              <w:rPr>
                <w:rStyle w:val="row-content-rich-text"/>
              </w:rPr>
              <w:t xml:space="preserve">leukaemia-myeloma</w:t>
            </w:r>
          </w:p>
          <w:p>
            <w:pPr>
              <w:pStyle w:val="ListParagraph"/>
              <w:numPr>
                <w:ilvl w:val="0"/>
                <w:numId w:val="2"/>
              </w:numPr>
            </w:pPr>
            <w:r>
              <w:rPr>
                <w:rStyle w:val="row-content-rich-text"/>
              </w:rPr>
              <w:t xml:space="preserve">immunosuppressed</w:t>
            </w:r>
          </w:p>
          <w:p>
            <w:pPr>
              <w:pStyle w:val="ListParagraph"/>
              <w:numPr>
                <w:ilvl w:val="0"/>
                <w:numId w:val="2"/>
              </w:numPr>
            </w:pPr>
            <w:r>
              <w:rPr>
                <w:rStyle w:val="row-content-rich-text"/>
              </w:rPr>
              <w:t xml:space="preserve">cirrhosis</w:t>
            </w:r>
          </w:p>
          <w:p>
            <w:pPr>
              <w:spacing w:after="160"/>
            </w:pPr>
            <w:r>
              <w:rPr>
                <w:rStyle w:val="row-content-rich-text"/>
              </w:rPr>
              <w:t xml:space="preserve">Examples:</w:t>
            </w:r>
          </w:p>
          <w:p>
            <w:pPr>
              <w:spacing w:after="160"/>
            </w:pPr>
            <w:r>
              <w:rPr>
                <w:rStyle w:val="row-content-rich-text"/>
              </w:rPr>
              <w:t xml:space="preserve">Comorbidities are recorded in this order.</w:t>
            </w:r>
          </w:p>
          <w:p>
            <w:pPr>
              <w:spacing w:after="160"/>
            </w:pPr>
            <w:r>
              <w:rPr>
                <w:rStyle w:val="row-content-rich-text"/>
              </w:rPr>
              <w:t xml:space="preserve"> </w:t>
            </w:r>
          </w:p>
          <w:tbl>
            <w:tblPr>
              <w:tblStyle w:val="TableGrid"/>
              <w:tblW w:w="5000" w:type="pct"/>
              <w:tblLayout w:type="autofit"/>
            </w:tblPr>
            <w:tblGrid>
              <w:gridCol/>
              <w:gridCol/>
              <w:gridCol/>
              <w:gridCol/>
              <w:gridCol/>
              <w:gridCol/>
              <w:gridCol/>
            </w:tblGrid>
            <w:tr>
              <w:trPr/>
              <w:tc>
                <w:tcPr>
                  <w:tcW w:w="350" w:type="pct"/>
                  <w:vAlign w:val="top"/>
                </w:tcPr>
                <w:p>
                  <w:pPr/>
                  <w:r>
                    <w:rPr>
                      <w:rStyle w:val="row-content-rich-text"/>
                    </w:rPr>
                    <w:t xml:space="preserve"> </w:t>
                  </w:r>
                  <w:r>
                    <w:rPr>
                      <w:rStyle w:val="row-content-rich-text"/>
                    </w:rPr>
                    <w:t xml:space="preserve">AIDS</w:t>
                  </w:r>
                </w:p>
              </w:tc>
              <w:tc>
                <w:tcPr>
                  <w:tcW w:w="800" w:type="pct"/>
                  <w:vAlign w:val="top"/>
                </w:tcPr>
                <w:p>
                  <w:r>
                    <w:t xml:space="preserve">Hepatic</w:t>
                  </w:r>
                  <w:r>
                    <w:br/>
                  </w:r>
                  <w:r>
                    <w:t xml:space="preserve">failure</w:t>
                  </w:r>
                </w:p>
              </w:tc>
              <w:tc>
                <w:tcPr>
                  <w:tcW w:w="500" w:type="pct"/>
                  <w:vAlign w:val="top"/>
                </w:tcPr>
                <w:p>
                  <w:r>
                    <w:t xml:space="preserve">Lymphoma</w:t>
                  </w:r>
                </w:p>
              </w:tc>
              <w:tc>
                <w:tcPr>
                  <w:tcW w:w="850" w:type="pct"/>
                  <w:vAlign w:val="top"/>
                </w:tcPr>
                <w:p>
                  <w:r>
                    <w:t xml:space="preserve">Metastatic</w:t>
                  </w:r>
                  <w:r>
                    <w:br/>
                  </w:r>
                  <w:r>
                    <w:t xml:space="preserve">Cancer</w:t>
                  </w:r>
                </w:p>
              </w:tc>
              <w:tc>
                <w:tcPr>
                  <w:tcW w:w="900" w:type="pct"/>
                  <w:vAlign w:val="top"/>
                </w:tcPr>
                <w:p>
                  <w:r>
                    <w:t xml:space="preserve">Leukaemia-</w:t>
                  </w:r>
                  <w:r>
                    <w:br/>
                  </w:r>
                  <w:r>
                    <w:t xml:space="preserve">myeloma</w:t>
                  </w:r>
                </w:p>
              </w:tc>
              <w:tc>
                <w:tcPr>
                  <w:tcW w:w="850" w:type="pct"/>
                  <w:vAlign w:val="top"/>
                </w:tcPr>
                <w:p>
                  <w:r>
                    <w:t xml:space="preserve">Immuno-</w:t>
                  </w:r>
                  <w:r>
                    <w:br/>
                  </w:r>
                  <w:r>
                    <w:t xml:space="preserve">supressed</w:t>
                  </w:r>
                </w:p>
              </w:tc>
              <w:tc>
                <w:tcPr>
                  <w:tcW w:w="550" w:type="pct"/>
                  <w:vAlign w:val="top"/>
                </w:tcPr>
                <w:p>
                  <w:r>
                    <w:t xml:space="preserve">Cirrhosis</w:t>
                  </w:r>
                </w:p>
              </w:tc>
            </w:tr>
            <w:tr>
              <w:trPr/>
              <w:tc>
                <w:tcPr>
                  <w:tcW w:w="350" w:type="pct"/>
                  <w:vAlign w:val="top"/>
                </w:tcPr>
                <w:p>
                  <w:r>
                    <w:t xml:space="preserve">Y/N</w:t>
                  </w:r>
                </w:p>
              </w:tc>
              <w:tc>
                <w:tcPr>
                  <w:tcW w:w="800" w:type="pct"/>
                  <w:vAlign w:val="top"/>
                </w:tcPr>
                <w:p>
                  <w:r>
                    <w:t xml:space="preserve">Y/N</w:t>
                  </w:r>
                </w:p>
              </w:tc>
              <w:tc>
                <w:tcPr>
                  <w:tcW w:w="500" w:type="pct"/>
                  <w:vAlign w:val="top"/>
                </w:tcPr>
                <w:p>
                  <w:r>
                    <w:t xml:space="preserve">Y/N</w:t>
                  </w:r>
                </w:p>
              </w:tc>
              <w:tc>
                <w:tcPr>
                  <w:tcW w:w="850" w:type="pct"/>
                  <w:vAlign w:val="top"/>
                </w:tcPr>
                <w:p>
                  <w:r>
                    <w:t xml:space="preserve">Y/N</w:t>
                  </w:r>
                </w:p>
              </w:tc>
              <w:tc>
                <w:tcPr>
                  <w:tcW w:w="900" w:type="pct"/>
                  <w:vAlign w:val="top"/>
                </w:tcPr>
                <w:p>
                  <w:r>
                    <w:t xml:space="preserve">Y/N</w:t>
                  </w:r>
                </w:p>
              </w:tc>
              <w:tc>
                <w:tcPr>
                  <w:tcW w:w="850" w:type="pct"/>
                  <w:vAlign w:val="top"/>
                </w:tcPr>
                <w:p>
                  <w:r>
                    <w:t xml:space="preserve">Y/N</w:t>
                  </w:r>
                </w:p>
              </w:tc>
              <w:tc>
                <w:tcPr>
                  <w:tcW w:w="550" w:type="pct"/>
                  <w:vAlign w:val="top"/>
                </w:tcPr>
                <w:p>
                  <w:r>
                    <w:t xml:space="preserve">Y/N</w:t>
                  </w:r>
                </w:p>
              </w:tc>
            </w:tr>
          </w:tbl>
          <w:p>
            <w:r>
              <w:t xml:space="preserve"> </w:t>
            </w:r>
          </w:p>
          <w:p>
            <w:r>
              <w:t xml:space="preserve"> </w:t>
            </w:r>
          </w:p>
          <w:tbl>
            <w:tblPr>
              <w:tblStyle w:val="TableGrid"/>
              <w:tblW w:w="5000" w:type="pct"/>
              <w:tblLayout w:type="autofit"/>
            </w:tblPr>
            <w:tblGrid>
              <w:gridCol/>
              <w:gridCol/>
            </w:tblGrid>
            <w:tr>
              <w:trPr/>
              <w:tc>
                <w:tcPr>
                  <w:tcW w:w="1000" w:type="pct"/>
                  <w:vAlign w:val="top"/>
                </w:tcPr>
                <w:p>
                  <w:r>
                    <w:t xml:space="preserve"> </w:t>
                  </w:r>
                  <w:r>
                    <w:t xml:space="preserve">Code</w:t>
                  </w:r>
                </w:p>
              </w:tc>
              <w:tc>
                <w:tcPr>
                  <w:tcW w:w="4000" w:type="pct"/>
                  <w:vAlign w:val="top"/>
                </w:tcPr>
                <w:p>
                  <w:r>
                    <w:t xml:space="preserve">Code represents</w:t>
                  </w:r>
                </w:p>
              </w:tc>
            </w:tr>
            <w:tr>
              <w:trPr/>
              <w:tc>
                <w:tcPr>
                  <w:tcW w:w="1000" w:type="pct"/>
                  <w:vAlign w:val="top"/>
                </w:tcPr>
                <w:p>
                  <w:r>
                    <w:t xml:space="preserve">YNNNNNN</w:t>
                  </w:r>
                </w:p>
              </w:tc>
              <w:tc>
                <w:tcPr>
                  <w:tcW w:w="4000" w:type="pct"/>
                  <w:vAlign w:val="top"/>
                </w:tcPr>
                <w:p>
                  <w:r>
                    <w:t xml:space="preserve">AIDS comorbidity exists. Hepatic failure, lymphoma, metastatic cancer,</w:t>
                  </w:r>
                  <w:r>
                    <w:br/>
                  </w:r>
                  <w:r>
                    <w:t xml:space="preserve">leukaemia-myeloma, immunosuppressed and cirrhosis do not exist.</w:t>
                  </w:r>
                </w:p>
              </w:tc>
            </w:tr>
            <w:tr>
              <w:trPr/>
              <w:tc>
                <w:tcPr>
                  <w:tcW w:w="1000" w:type="pct"/>
                  <w:vAlign w:val="top"/>
                </w:tcPr>
                <w:p>
                  <w:r>
                    <w:t xml:space="preserve">NYNYNNN</w:t>
                  </w:r>
                </w:p>
              </w:tc>
              <w:tc>
                <w:tcPr>
                  <w:tcW w:w="4000" w:type="pct"/>
                  <w:vAlign w:val="top"/>
                </w:tcPr>
                <w:p>
                  <w:r>
                    <w:t xml:space="preserve">Hepatic failure and metastatic co-morbidities exist. AIDS, lymphoma,</w:t>
                  </w:r>
                  <w:r>
                    <w:br/>
                  </w:r>
                  <w:r>
                    <w:t xml:space="preserve">leukaemia-myeloma, immunosuppressed and cirrhosis do not exist.</w:t>
                  </w:r>
                  <w:r>
                    <w:br/>
                  </w:r>
                  <w:r>
                    <w:t xml:space="preserve"> </w:t>
                  </w:r>
                </w:p>
              </w:tc>
            </w:tr>
          </w:tbl>
          <w:p>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e1dc7d9edc4b92">
              <w:r>
                <w:rPr>
                  <w:rStyle w:val="Hyperlink"/>
                </w:rPr>
                <w:t xml:space="preserve">Intensive care DSS</w:t>
              </w:r>
            </w:hyperlink>
          </w:p>
          <w:p>
            <w:pPr>
              <w:pStyle w:val="registration-status"/>
              <w:spacing w:before="0" w:after="0"/>
            </w:pPr>
            <w:hyperlink w:history="true" r:id="Rf2427a888ad04eab">
              <w:r>
                <w:rPr>
                  <w:rStyle w:val="Hyperlink"/>
                  <w:color w:val="244061"/>
                </w:rPr>
                <w:t xml:space="preserve">Health!</w:t>
              </w:r>
            </w:hyperlink>
            <w:r>
              <w:rPr>
                <w:rStyle w:val="row-content"/>
                <w:color w:val="244061"/>
              </w:rPr>
              <w:t xml:space="preserve">, Recorded 14/07/2006</w:t>
            </w:r>
          </w:p>
          <w:p>
            <w:r>
              <w:br/>
            </w:r>
          </w:p>
        </w:tc>
      </w:tr>
    </w:tbl>
    <w:p/>
    <w:tbl>
      <w:tblPr>
        <w:tblStyle w:val="TableGrid"/>
        <w:tblW w:w="0" w:type="auto"/>
      </w:tblPr>
    </w:tbl>
    <w:p>
      <w:r>
        <w:br/>
      </w:r>
    </w:p>
    <w:sectPr>
      <w:footerReference xmlns:r="http://schemas.openxmlformats.org/officeDocument/2006/relationships" w:type="default" r:id="Rc7734681883c42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320894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42739a138b40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734681883c42d2" /><Relationship Type="http://schemas.openxmlformats.org/officeDocument/2006/relationships/header" Target="/word/header1.xml" Id="Raf6ac8a8486f4ce7" /><Relationship Type="http://schemas.openxmlformats.org/officeDocument/2006/relationships/settings" Target="/word/settings.xml" Id="Reee677962f1f423e" /><Relationship Type="http://schemas.openxmlformats.org/officeDocument/2006/relationships/styles" Target="/word/styles.xml" Id="Rd95d81198eb84fc8" /><Relationship Type="http://schemas.openxmlformats.org/officeDocument/2006/relationships/numbering" Target="/word/numbering.xml" Id="R6100c81d49a7439d" /><Relationship Type="http://schemas.openxmlformats.org/officeDocument/2006/relationships/hyperlink" Target="https://meteor-uat.aihw.gov.au/RegistrationAuthority/14" TargetMode="External" Id="Ra3b99e8bcfed4fbc" /><Relationship Type="http://schemas.openxmlformats.org/officeDocument/2006/relationships/hyperlink" Target="https://meteor-uat.aihw.gov.au/content/320887" TargetMode="External" Id="Reb9486a98429453a" /><Relationship Type="http://schemas.openxmlformats.org/officeDocument/2006/relationships/hyperlink" Target="https://meteor-uat.aihw.gov.au/content/320889" TargetMode="External" Id="R2f9273bdc18945b4" /><Relationship Type="http://schemas.openxmlformats.org/officeDocument/2006/relationships/hyperlink" Target="https://meteor-uat.aihw.gov.au/content/316130" TargetMode="External" Id="Rdbe1dc7d9edc4b92" /><Relationship Type="http://schemas.openxmlformats.org/officeDocument/2006/relationships/hyperlink" Target="https://meteor-uat.aihw.gov.au/RegistrationAuthority/14" TargetMode="External" Id="Rf2427a888ad04eab" /></Relationships>
</file>

<file path=word/_rels/header1.xml.rels>&#65279;<?xml version="1.0" encoding="utf-8"?><Relationships xmlns="http://schemas.openxmlformats.org/package/2006/relationships"><Relationship Type="http://schemas.openxmlformats.org/officeDocument/2006/relationships/image" Target="/media/image.png" Id="R8a42739a138b4031" /></Relationships>
</file>