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a3e0221e7a4845" /></Relationships>
</file>

<file path=word/document.xml><?xml version="1.0" encoding="utf-8"?>
<w:document xmlns:r="http://schemas.openxmlformats.org/officeDocument/2006/relationships" xmlns:w="http://schemas.openxmlformats.org/wordprocessingml/2006/main">
  <w:body>
    <w:p>
      <w:pPr>
        <w:pStyle w:val="Title"/>
      </w:pPr>
      <w:r>
        <w:t>Person—pH of arterial blood gas, level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Person—pH of arterial blood gas, level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pH of arterial blood gas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320831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8d217c32844257">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 of a person’s arterial blood gases.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b9886c48c6d43d2">
              <w:r>
                <w:rPr>
                  <w:rStyle w:val="Hyperlink"/>
                </w:rPr>
                <w:t xml:space="preserve">Person—pH of arterial blood gas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bc9463ee1f4b2a">
              <w:r>
                <w:rPr>
                  <w:rStyle w:val="Hyperlink"/>
                </w:rPr>
                <w:t xml:space="preserve">pH level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recorded 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Any pH value of &lt; 6.5 or &gt; 8 is considered invalid.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ANZICS Database Management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Knaus WA, Draper EA, Bergner M, Murphy DJ, Harrell FE. The APACHE III Prognostic System: Risk Prediction of Hospital Mortality for Critically Ill Hospitalized adults. Chest 1991;100:1619–1636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4b8a0329664317">
              <w:r>
                <w:rPr>
                  <w:rStyle w:val="Hyperlink"/>
                </w:rPr>
                <w:t xml:space="preserve">Intensive care DSS</w:t>
              </w:r>
            </w:hyperlink>
          </w:p>
          <w:p>
            <w:pPr>
              <w:pStyle w:val="registration-status"/>
              <w:spacing w:before="0" w:after="0"/>
            </w:pPr>
            <w:hyperlink w:history="true" r:id="R8ef515a750534705">
              <w:r>
                <w:rPr>
                  <w:rStyle w:val="Hyperlink"/>
                  <w:color w:val="244061"/>
                </w:rPr>
                <w:t xml:space="preserve">Health!</w:t>
              </w:r>
            </w:hyperlink>
            <w:r>
              <w:rPr>
                <w:rStyle w:val="row-content"/>
                <w:color w:val="244061"/>
              </w:rPr>
              <w:t xml:space="preserve">, Recorded 14/07/2006</w:t>
            </w:r>
          </w:p>
          <w:p>
            <w:r>
              <w:rPr>
                <w:rStyle w:val="row-content"/>
                <w:b/>
                <w:i/>
              </w:rPr>
              <w:t xml:space="preserve">DSS specific information: </w:t>
            </w:r>
          </w:p>
          <w:p>
            <w:r>
              <w:rPr>
                <w:rStyle w:val="row-content"/>
              </w:rPr>
              <w:t xml:space="preserve">Blood samples are taken at intervals during the first 24 hours of a patient’s entry to an intensive care unit. Several measurements of the pH of a patient's arterial blood gas are taken in this time period.</w:t>
            </w:r>
          </w:p>
          <w:p>
            <w:r>
              <w:rPr>
                <w:rStyle w:val="row-content"/>
              </w:rPr>
              <w:t xml:space="preserve">Used in the calculation of APACHE II and APACHE III scores.</w:t>
            </w:r>
          </w:p>
          <w:p>
            <w:r>
              <w:rPr>
                <w:rStyle w:val="row-content"/>
              </w:rPr>
              <w:t xml:space="preserve">Code 9.99 if arterial pH is not recorded.</w:t>
            </w:r>
          </w:p>
          <w:p>
            <w:r>
              <w:rPr>
                <w:rStyle w:val="row-content"/>
              </w:rPr>
              <w:t xml:space="preserve">APACHE II:</w:t>
            </w:r>
          </w:p>
          <w:p>
            <w:r>
              <w:rPr>
                <w:rStyle w:val="row-content"/>
              </w:rPr>
              <w:t xml:space="preserve">For adults, the value to be recorded for use in the calculation of the APACHE II score is the one that achieves the highest score determined using the APACHE II score weights shown in the table below.</w:t>
            </w:r>
          </w:p>
          <w:p>
            <w:r>
              <w:rPr>
                <w:rStyle w:val="row-content"/>
              </w:rPr>
              <w:t xml:space="preserve"> </w:t>
            </w:r>
          </w:p>
          <w:tbl>
            <w:tblPr>
              <w:tblStyle w:val="TableGrid"/>
              <w:tblW w:w="5000" w:type="pct"/>
              <w:tblLayout w:type="autofit"/>
            </w:tblPr>
            <w:tblGrid>
              <w:gridCol/>
              <w:gridCol/>
              <w:gridCol/>
              <w:gridCol/>
              <w:gridCol/>
              <w:gridCol/>
              <w:gridCol/>
              <w:gridCol/>
              <w:gridCol/>
              <w:gridCol/>
            </w:tblGrid>
            <w:tr>
              <w:trPr/>
              <w:tc>
                <w:tcPr>
                  <w:tcW w:w="600" w:type="pct"/>
                  <w:vAlign w:val="top"/>
                </w:tcPr>
                <w:p>
                  <w:r>
                    <w:rPr>
                      <w:rStyle w:val="row-content"/>
                    </w:rPr>
                    <w:t xml:space="preserve"> </w:t>
                  </w:r>
                  <w:r>
                    <w:rPr>
                      <w:rStyle w:val="row-content"/>
                    </w:rPr>
                    <w:t xml:space="preserve">APACHE</w:t>
                  </w:r>
                  <w:r>
                    <w:br/>
                  </w:r>
                  <w:r>
                    <w:rPr>
                      <w:rStyle w:val="row-content"/>
                    </w:rPr>
                    <w:t xml:space="preserve">II</w:t>
                  </w:r>
                </w:p>
              </w:tc>
              <w:tc>
                <w:tcPr>
                  <w:tcW w:w="950" w:type="pct"/>
                  <w:gridSpan w:val="4"/>
                  <w:vAlign w:val="top"/>
                </w:tcPr>
                <w:p>
                  <w:r>
                    <w:t xml:space="preserve">High abnormal range</w:t>
                  </w:r>
                </w:p>
              </w:tc>
              <w:tc>
                <w:tcPr>
                  <w:tcW w:w="400" w:type="pct"/>
                  <w:vAlign w:val="top"/>
                </w:tcPr>
                <w:p>
                  <w:r>
                    <w:t xml:space="preserve"> </w:t>
                  </w:r>
                </w:p>
              </w:tc>
              <w:tc>
                <w:tcPr>
                  <w:tcW w:w="800" w:type="pct"/>
                  <w:gridSpan w:val="4"/>
                  <w:vAlign w:val="top"/>
                </w:tcPr>
                <w:p>
                  <w:r>
                    <w:t xml:space="preserve">Low abnormal range</w:t>
                  </w:r>
                </w:p>
              </w:tc>
            </w:tr>
            <w:tr>
              <w:trPr/>
              <w:tc>
                <w:tcPr>
                  <w:tcW w:w="600" w:type="pct"/>
                  <w:vAlign w:val="top"/>
                </w:tcPr>
                <w:p>
                  <w:r>
                    <w:t xml:space="preserve">pH</w:t>
                  </w:r>
                </w:p>
              </w:tc>
              <w:tc>
                <w:tcPr>
                  <w:tcW w:w="950" w:type="pct"/>
                  <w:vAlign w:val="top"/>
                </w:tcPr>
                <w:p>
                  <w:r>
                    <w:t xml:space="preserve">≥7.7</w:t>
                  </w:r>
                </w:p>
              </w:tc>
              <w:tc>
                <w:tcPr>
                  <w:tcW w:w="400" w:type="pct"/>
                  <w:vAlign w:val="top"/>
                </w:tcPr>
                <w:p>
                  <w:r>
                    <w:t xml:space="preserve">7.6-7.69</w:t>
                  </w:r>
                </w:p>
              </w:tc>
              <w:tc>
                <w:tcPr>
                  <w:tcW w:w="800" w:type="pct"/>
                  <w:vAlign w:val="top"/>
                </w:tcPr>
                <w:p>
                  <w:r>
                    <w:t xml:space="preserve"> </w:t>
                  </w:r>
                </w:p>
              </w:tc>
              <w:tc>
                <w:tcPr>
                  <w:tcW w:w="350" w:type="pct"/>
                  <w:vAlign w:val="top"/>
                </w:tcPr>
                <w:p>
                  <w:r>
                    <w:t xml:space="preserve">7.5-7.59</w:t>
                  </w:r>
                </w:p>
              </w:tc>
              <w:tc>
                <w:tcPr>
                  <w:tcW w:w="350" w:type="pct"/>
                  <w:vAlign w:val="top"/>
                </w:tcPr>
                <w:p>
                  <w:r>
                    <w:t xml:space="preserve">7.33-</w:t>
                  </w:r>
                  <w:r>
                    <w:br/>
                  </w:r>
                  <w:r>
                    <w:t xml:space="preserve">7.49</w:t>
                  </w:r>
                </w:p>
              </w:tc>
              <w:tc>
                <w:tcPr>
                  <w:tcW w:w="200" w:type="pct"/>
                  <w:vAlign w:val="top"/>
                </w:tcPr>
                <w:p>
                  <w:r>
                    <w:t xml:space="preserve"> </w:t>
                  </w:r>
                </w:p>
              </w:tc>
              <w:tc>
                <w:tcPr>
                  <w:tcW w:w="400" w:type="pct"/>
                  <w:vAlign w:val="top"/>
                </w:tcPr>
                <w:p>
                  <w:r>
                    <w:t xml:space="preserve">7.25-7.32</w:t>
                  </w:r>
                </w:p>
              </w:tc>
              <w:tc>
                <w:tcPr>
                  <w:tcW w:w="400" w:type="pct"/>
                  <w:vAlign w:val="top"/>
                </w:tcPr>
                <w:p>
                  <w:r>
                    <w:t xml:space="preserve">7.15-7.24</w:t>
                  </w:r>
                </w:p>
              </w:tc>
              <w:tc>
                <w:tcPr>
                  <w:tcW w:w="250" w:type="pct"/>
                  <w:vAlign w:val="top"/>
                </w:tcPr>
                <w:p>
                  <w:r>
                    <w:t xml:space="preserve">&lt;7.15</w:t>
                  </w:r>
                </w:p>
              </w:tc>
            </w:tr>
            <w:tr>
              <w:trPr/>
              <w:tc>
                <w:tcPr>
                  <w:tcW w:w="600" w:type="pct"/>
                  <w:vAlign w:val="top"/>
                </w:tcPr>
                <w:p>
                  <w:r>
                    <w:t xml:space="preserve">Score</w:t>
                  </w:r>
                </w:p>
              </w:tc>
              <w:tc>
                <w:tcPr>
                  <w:tcW w:w="950" w:type="pct"/>
                  <w:vAlign w:val="top"/>
                </w:tcPr>
                <w:p>
                  <w:r>
                    <w:t xml:space="preserve">+4</w:t>
                  </w:r>
                </w:p>
              </w:tc>
              <w:tc>
                <w:tcPr>
                  <w:tcW w:w="400" w:type="pct"/>
                  <w:vAlign w:val="top"/>
                </w:tcPr>
                <w:p>
                  <w:r>
                    <w:t xml:space="preserve">+3</w:t>
                  </w:r>
                </w:p>
              </w:tc>
              <w:tc>
                <w:tcPr>
                  <w:tcW w:w="800" w:type="pct"/>
                  <w:vAlign w:val="top"/>
                </w:tcPr>
                <w:p>
                  <w:r>
                    <w:t xml:space="preserve">+2</w:t>
                  </w:r>
                </w:p>
              </w:tc>
              <w:tc>
                <w:tcPr>
                  <w:tcW w:w="350" w:type="pct"/>
                  <w:vAlign w:val="top"/>
                </w:tcPr>
                <w:p>
                  <w:r>
                    <w:t xml:space="preserve">+1</w:t>
                  </w:r>
                </w:p>
              </w:tc>
              <w:tc>
                <w:tcPr>
                  <w:tcW w:w="350" w:type="pct"/>
                  <w:vAlign w:val="top"/>
                </w:tcPr>
                <w:p>
                  <w:r>
                    <w:t xml:space="preserve">0</w:t>
                  </w:r>
                </w:p>
              </w:tc>
              <w:tc>
                <w:tcPr>
                  <w:tcW w:w="200" w:type="pct"/>
                  <w:vAlign w:val="top"/>
                </w:tcPr>
                <w:p>
                  <w:r>
                    <w:t xml:space="preserve">+1</w:t>
                  </w:r>
                </w:p>
              </w:tc>
              <w:tc>
                <w:tcPr>
                  <w:tcW w:w="400" w:type="pct"/>
                  <w:vAlign w:val="top"/>
                </w:tcPr>
                <w:p>
                  <w:r>
                    <w:t xml:space="preserve">+2</w:t>
                  </w:r>
                </w:p>
              </w:tc>
              <w:tc>
                <w:tcPr>
                  <w:tcW w:w="400" w:type="pct"/>
                  <w:vAlign w:val="top"/>
                </w:tcPr>
                <w:p>
                  <w:r>
                    <w:t xml:space="preserve">+3</w:t>
                  </w:r>
                </w:p>
              </w:tc>
              <w:tc>
                <w:tcPr>
                  <w:tcW w:w="250" w:type="pct"/>
                  <w:vAlign w:val="top"/>
                </w:tcPr>
                <w:p>
                  <w:r>
                    <w:t xml:space="preserve">+4</w:t>
                  </w:r>
                </w:p>
              </w:tc>
            </w:tr>
          </w:tbl>
          <w:p>
            <w:r>
              <w:t xml:space="preserve">APACHE III</w:t>
            </w:r>
          </w:p>
          <w:p>
            <w:r>
              <w:t xml:space="preserve">For APACHE III scores, the highest scoring pH is selected in conjunction with the level of carbon dioxide in the same blood sample.</w:t>
            </w:r>
          </w:p>
          <w:p>
            <w:r>
              <w:t xml:space="preserve"> </w:t>
            </w:r>
          </w:p>
          <w:tbl>
            <w:tblPr>
              <w:tblStyle w:val="TableGrid"/>
              <w:tblW w:w="5000" w:type="pct"/>
              <w:tblLayout w:type="autofit"/>
            </w:tblPr>
            <w:tblGrid>
              <w:gridCol/>
              <w:gridCol/>
              <w:gridCol/>
              <w:gridCol/>
              <w:gridCol/>
              <w:gridCol/>
              <w:gridCol/>
              <w:gridCol/>
              <w:gridCol/>
              <w:gridCol/>
            </w:tblGrid>
            <w:tr>
              <w:trPr/>
              <w:tc>
                <w:tcPr>
                  <w:tcW w:w="2250" w:type="pct"/>
                  <w:vAlign w:val="top"/>
                </w:tcPr>
                <w:p>
                  <w:r>
                    <w:t xml:space="preserve"> </w:t>
                  </w:r>
                  <w:r>
                    <w:t xml:space="preserve">APACHE III</w:t>
                  </w:r>
                </w:p>
              </w:tc>
              <w:tc>
                <w:tcPr>
                  <w:tcW w:w="500" w:type="pct"/>
                  <w:gridSpan w:val="9"/>
                  <w:vAlign w:val="top"/>
                </w:tcPr>
                <w:p>
                  <w:r>
                    <w:t xml:space="preserve">PaCO</w:t>
                  </w:r>
                  <w:r>
                    <w:rPr>
                      <w:vertAlign w:val="subscript"/>
                    </w:rPr>
                    <w:t xml:space="preserve">2</w:t>
                  </w:r>
                </w:p>
              </w:tc>
            </w:tr>
            <w:tr>
              <w:trPr/>
              <w:tc>
                <w:tcPr>
                  <w:tcW w:w="2250" w:type="pct"/>
                  <w:vAlign w:val="top"/>
                </w:tcPr>
                <w:p>
                  <w:r>
                    <w:t xml:space="preserve">2pH</w:t>
                  </w:r>
                </w:p>
              </w:tc>
              <w:tc>
                <w:tcPr>
                  <w:tcW w:w="500" w:type="pct"/>
                  <w:vAlign w:val="top"/>
                </w:tcPr>
                <w:p>
                  <w:r>
                    <w:t xml:space="preserve">&lt;25</w:t>
                  </w:r>
                </w:p>
              </w:tc>
              <w:tc>
                <w:tcPr>
                  <w:tcW w:w="450" w:type="pct"/>
                  <w:vAlign w:val="top"/>
                </w:tcPr>
                <w:p>
                  <w:r>
                    <w:t xml:space="preserve">25-&lt;30</w:t>
                  </w:r>
                </w:p>
              </w:tc>
              <w:tc>
                <w:tcPr>
                  <w:tcW w:w="350" w:type="pct"/>
                  <w:vAlign w:val="top"/>
                </w:tcPr>
                <w:p>
                  <w:r>
                    <w:t xml:space="preserve">30-&lt;35</w:t>
                  </w:r>
                </w:p>
              </w:tc>
              <w:tc>
                <w:tcPr>
                  <w:tcW w:w="200" w:type="pct"/>
                  <w:vAlign w:val="top"/>
                </w:tcPr>
                <w:p>
                  <w:r>
                    <w:t xml:space="preserve">35-&lt;40</w:t>
                  </w:r>
                </w:p>
              </w:tc>
              <w:tc>
                <w:tcPr>
                  <w:tcW w:w="200" w:type="pct"/>
                  <w:vAlign w:val="top"/>
                </w:tcPr>
                <w:p>
                  <w:r>
                    <w:t xml:space="preserve">40-&lt;45</w:t>
                  </w:r>
                </w:p>
              </w:tc>
              <w:tc>
                <w:tcPr>
                  <w:tcW w:w="200" w:type="pct"/>
                  <w:vAlign w:val="top"/>
                </w:tcPr>
                <w:p>
                  <w:r>
                    <w:t xml:space="preserve">45-&lt;50</w:t>
                  </w:r>
                </w:p>
              </w:tc>
              <w:tc>
                <w:tcPr>
                  <w:tcW w:w="200" w:type="pct"/>
                  <w:vAlign w:val="top"/>
                </w:tcPr>
                <w:p>
                  <w:r>
                    <w:t xml:space="preserve">50-&lt;55</w:t>
                  </w:r>
                </w:p>
              </w:tc>
              <w:tc>
                <w:tcPr>
                  <w:tcW w:w="200" w:type="pct"/>
                  <w:vAlign w:val="top"/>
                </w:tcPr>
                <w:p>
                  <w:r>
                    <w:t xml:space="preserve">55-&lt;60</w:t>
                  </w:r>
                </w:p>
              </w:tc>
              <w:tc>
                <w:tcPr>
                  <w:tcW w:w="200" w:type="pct"/>
                  <w:vAlign w:val="top"/>
                </w:tcPr>
                <w:p>
                  <w:r>
                    <w:t xml:space="preserve">≥60</w:t>
                  </w:r>
                </w:p>
              </w:tc>
            </w:tr>
            <w:tr>
              <w:trPr/>
              <w:tc>
                <w:tcPr>
                  <w:tcW w:w="2250" w:type="pct"/>
                  <w:vAlign w:val="top"/>
                </w:tcPr>
                <w:p>
                  <w:r>
                    <w:t xml:space="preserve">&lt;7.15</w:t>
                  </w:r>
                </w:p>
              </w:tc>
              <w:tc>
                <w:tcPr>
                  <w:tcW w:w="500" w:type="pct"/>
                  <w:gridSpan w:val="6"/>
                  <w:vMerge w:val="restart"/>
                  <w:vAlign w:val="top"/>
                </w:tcPr>
                <w:p>
                  <w:r>
                    <w:t xml:space="preserve">12</w:t>
                  </w:r>
                </w:p>
              </w:tc>
              <w:tc>
                <w:tcPr>
                  <w:tcW w:w="450" w:type="pct"/>
                  <w:gridSpan w:val="3"/>
                  <w:vMerge w:val="restart"/>
                  <w:vAlign w:val="top"/>
                </w:tcPr>
                <w:p>
                  <w:r>
                    <w:t xml:space="preserve">4</w:t>
                  </w:r>
                </w:p>
              </w:tc>
            </w:tr>
            <w:tr>
              <w:trPr/>
              <w:tc>
                <w:tcPr>
                  <w:tcW w:w="2250" w:type="pct"/>
                  <w:vAlign w:val="top"/>
                </w:tcPr>
                <w:p>
                  <w:r>
                    <w:t xml:space="preserve">7.15-&lt;7.2</w:t>
                  </w:r>
                </w:p>
              </w:tc>
              <w:tc>
                <w:tcPr>
                  <w:tcW w:w="500" w:type="pct"/>
                  <w:gridSpan w:val="3"/>
                  <w:vMerge/>
                </w:tcPr>
                <w:p/>
              </w:tc>
              <w:tc>
                <w:tcPr>
                  <w:tcW w:w="450" w:type="pct"/>
                  <w:gridSpan w:val="6"/>
                  <w:vMerge/>
                </w:tcPr>
                <w:p/>
              </w:tc>
            </w:tr>
            <w:tr>
              <w:trPr/>
              <w:tc>
                <w:tcPr>
                  <w:tcW w:w="2250" w:type="pct"/>
                  <w:vAlign w:val="top"/>
                </w:tcPr>
                <w:p>
                  <w:r>
                    <w:t xml:space="preserve">7.20-&lt;7.25</w:t>
                  </w:r>
                </w:p>
              </w:tc>
              <w:tc>
                <w:tcPr>
                  <w:tcW w:w="500" w:type="pct"/>
                  <w:gridSpan w:val="2"/>
                  <w:vMerge w:val="restart"/>
                  <w:vAlign w:val="top"/>
                </w:tcPr>
                <w:p>
                  <w:r>
                    <w:t xml:space="preserve">9</w:t>
                  </w:r>
                </w:p>
              </w:tc>
              <w:tc>
                <w:tcPr>
                  <w:tcW w:w="450" w:type="pct"/>
                  <w:gridSpan w:val="2"/>
                  <w:vMerge w:val="restart"/>
                  <w:vAlign w:val="top"/>
                </w:tcPr>
                <w:p>
                  <w:r>
                    <w:t xml:space="preserve">6</w:t>
                  </w:r>
                </w:p>
              </w:tc>
              <w:tc>
                <w:tcPr>
                  <w:tcW w:w="350" w:type="pct"/>
                  <w:gridSpan w:val="2"/>
                  <w:vMerge w:val="restart"/>
                  <w:vAlign w:val="top"/>
                </w:tcPr>
                <w:p>
                  <w:r>
                    <w:t xml:space="preserve">3</w:t>
                  </w:r>
                </w:p>
              </w:tc>
              <w:tc>
                <w:tcPr>
                  <w:tcW w:w="200" w:type="pct"/>
                  <w:gridSpan w:val="3"/>
                  <w:vMerge w:val="restart"/>
                  <w:vAlign w:val="top"/>
                </w:tcPr>
                <w:p>
                  <w:r>
                    <w:t xml:space="preserve">2</w:t>
                  </w:r>
                </w:p>
              </w:tc>
            </w:tr>
            <w:tr>
              <w:trPr/>
              <w:tc>
                <w:tcPr>
                  <w:tcW w:w="2250" w:type="pct"/>
                  <w:vAlign w:val="top"/>
                </w:tcPr>
                <w:p>
                  <w:r>
                    <w:t xml:space="preserve">7.25-&lt;7.30</w:t>
                  </w:r>
                </w:p>
              </w:tc>
              <w:tc>
                <w:tcPr>
                  <w:tcW w:w="500" w:type="pct"/>
                  <w:gridSpan w:val="3"/>
                  <w:vMerge/>
                </w:tcPr>
                <w:p/>
              </w:tc>
              <w:tc>
                <w:tcPr>
                  <w:tcW w:w="450" w:type="pct"/>
                  <w:gridSpan w:val="2"/>
                  <w:vMerge/>
                </w:tcPr>
                <w:p/>
              </w:tc>
              <w:tc>
                <w:tcPr>
                  <w:tcW w:w="350" w:type="pct"/>
                  <w:gridSpan w:val="2"/>
                  <w:vMerge/>
                </w:tcPr>
                <w:p/>
              </w:tc>
              <w:tc>
                <w:tcPr>
                  <w:tcW w:w="200" w:type="pct"/>
                  <w:gridSpan w:val="2"/>
                  <w:vMerge/>
                </w:tcPr>
                <w:p/>
              </w:tc>
            </w:tr>
            <w:tr>
              <w:trPr/>
              <w:tc>
                <w:tcPr>
                  <w:tcW w:w="2250" w:type="pct"/>
                  <w:vAlign w:val="top"/>
                </w:tcPr>
                <w:p>
                  <w:r>
                    <w:t xml:space="preserve">7.30-&lt;7.35</w:t>
                  </w:r>
                </w:p>
              </w:tc>
              <w:tc>
                <w:tcPr>
                  <w:tcW w:w="500" w:type="pct"/>
                  <w:gridSpan w:val="2"/>
                  <w:vMerge/>
                </w:tcPr>
                <w:p/>
              </w:tc>
              <w:tc>
                <w:tcPr>
                  <w:tcW w:w="450" w:type="pct"/>
                  <w:gridSpan w:val="3"/>
                  <w:vMerge w:val="restart"/>
                  <w:vAlign w:val="top"/>
                </w:tcPr>
                <w:p>
                  <w:r>
                    <w:t xml:space="preserve">0</w:t>
                  </w:r>
                </w:p>
              </w:tc>
              <w:tc>
                <w:tcPr>
                  <w:tcW w:w="350" w:type="pct"/>
                  <w:gridSpan w:val="4"/>
                  <w:vMerge w:val="restart"/>
                  <w:vAlign w:val="top"/>
                </w:tcPr>
                <w:p>
                  <w:r>
                    <w:t xml:space="preserve">1</w:t>
                  </w:r>
                </w:p>
              </w:tc>
            </w:tr>
            <w:tr>
              <w:trPr/>
              <w:tc>
                <w:tcPr>
                  <w:tcW w:w="2250" w:type="pct"/>
                  <w:vAlign w:val="top"/>
                </w:tcPr>
                <w:p>
                  <w:r>
                    <w:t xml:space="preserve">7.35-&lt;7.40</w:t>
                  </w:r>
                </w:p>
              </w:tc>
              <w:tc>
                <w:tcPr>
                  <w:tcW w:w="500" w:type="pct"/>
                  <w:gridSpan w:val="4"/>
                  <w:vMerge/>
                </w:tcPr>
                <w:p/>
              </w:tc>
              <w:tc>
                <w:tcPr>
                  <w:tcW w:w="450" w:type="pct"/>
                  <w:gridSpan w:val="3"/>
                  <w:vMerge/>
                </w:tcPr>
                <w:p/>
              </w:tc>
              <w:tc>
                <w:tcPr>
                  <w:tcW w:w="350" w:type="pct"/>
                  <w:gridSpan w:val="2"/>
                  <w:vMerge w:val="restart"/>
                  <w:vAlign w:val="top"/>
                </w:tcPr>
                <w:p>
                  <w:r>
                    <w:t xml:space="preserve">5</w:t>
                  </w:r>
                </w:p>
              </w:tc>
            </w:tr>
            <w:tr>
              <w:trPr/>
              <w:tc>
                <w:tcPr>
                  <w:tcW w:w="2250" w:type="pct"/>
                  <w:vAlign w:val="top"/>
                </w:tcPr>
                <w:p>
                  <w:r>
                    <w:t xml:space="preserve">7.40-&lt;7.45</w:t>
                  </w:r>
                </w:p>
              </w:tc>
              <w:tc>
                <w:tcPr>
                  <w:tcW w:w="500" w:type="pct"/>
                  <w:gridSpan w:val="2"/>
                  <w:vMerge/>
                </w:tcPr>
                <w:p/>
              </w:tc>
              <w:tc>
                <w:tcPr>
                  <w:tcW w:w="450" w:type="pct"/>
                  <w:gridSpan w:val="4"/>
                  <w:vMerge/>
                </w:tcPr>
                <w:p/>
              </w:tc>
              <w:tc>
                <w:tcPr>
                  <w:tcW w:w="350" w:type="pct"/>
                  <w:gridSpan w:val="3"/>
                  <w:vMerge/>
                </w:tcPr>
                <w:p/>
              </w:tc>
            </w:tr>
            <w:tr>
              <w:trPr/>
              <w:tc>
                <w:tcPr>
                  <w:tcW w:w="2250" w:type="pct"/>
                  <w:vAlign w:val="top"/>
                </w:tcPr>
                <w:p>
                  <w:r>
                    <w:t xml:space="preserve">7.45-&lt;7.50</w:t>
                  </w:r>
                </w:p>
              </w:tc>
              <w:tc>
                <w:tcPr>
                  <w:tcW w:w="500" w:type="pct"/>
                  <w:gridSpan w:val="2"/>
                  <w:vMerge/>
                </w:tcPr>
                <w:p/>
              </w:tc>
              <w:tc>
                <w:tcPr>
                  <w:tcW w:w="450" w:type="pct"/>
                  <w:gridSpan w:val="3"/>
                  <w:vAlign w:val="top"/>
                </w:tcPr>
                <w:p>
                  <w:r>
                    <w:t xml:space="preserve">2</w:t>
                  </w:r>
                </w:p>
              </w:tc>
              <w:tc>
                <w:tcPr>
                  <w:tcW w:w="350" w:type="pct"/>
                  <w:gridSpan w:val="4"/>
                  <w:vAlign w:val="top"/>
                </w:tcPr>
                <w:p>
                  <w:r>
                    <w:t xml:space="preserve">12</w:t>
                  </w:r>
                </w:p>
              </w:tc>
            </w:tr>
            <w:tr>
              <w:trPr/>
              <w:tc>
                <w:tcPr>
                  <w:tcW w:w="2250" w:type="pct"/>
                  <w:vAlign w:val="top"/>
                </w:tcPr>
                <w:p>
                  <w:r>
                    <w:t xml:space="preserve">7.50-&lt;7.55</w:t>
                  </w:r>
                </w:p>
              </w:tc>
              <w:tc>
                <w:tcPr>
                  <w:tcW w:w="500" w:type="pct"/>
                  <w:gridSpan w:val="4"/>
                  <w:vMerge w:val="restart"/>
                  <w:vAlign w:val="top"/>
                </w:tcPr>
                <w:p>
                  <w:r>
                    <w:t xml:space="preserve">3</w:t>
                  </w:r>
                </w:p>
              </w:tc>
              <w:tc>
                <w:tcPr>
                  <w:tcW w:w="450" w:type="pct"/>
                  <w:gridSpan w:val="5"/>
                  <w:vMerge w:val="restart"/>
                  <w:vAlign w:val="top"/>
                </w:tcPr>
                <w:p>
                  <w:r>
                    <w:t xml:space="preserve">12</w:t>
                  </w:r>
                </w:p>
              </w:tc>
            </w:tr>
            <w:tr>
              <w:trPr/>
              <w:tc>
                <w:tcPr>
                  <w:tcW w:w="2250" w:type="pct"/>
                  <w:vAlign w:val="top"/>
                </w:tcPr>
                <w:p>
                  <w:r>
                    <w:t xml:space="preserve">7.55-&lt;7.60</w:t>
                  </w:r>
                </w:p>
              </w:tc>
              <w:tc>
                <w:tcPr>
                  <w:tcW w:w="500" w:type="pct"/>
                  <w:gridSpan w:val="5"/>
                  <w:vMerge/>
                </w:tcPr>
                <w:p/>
              </w:tc>
              <w:tc>
                <w:tcPr>
                  <w:tcW w:w="450" w:type="pct"/>
                  <w:gridSpan w:val="4"/>
                  <w:vMerge/>
                </w:tcPr>
                <w:p/>
              </w:tc>
            </w:tr>
            <w:tr>
              <w:trPr/>
              <w:tc>
                <w:tcPr>
                  <w:tcW w:w="2250" w:type="pct"/>
                  <w:vAlign w:val="top"/>
                </w:tcPr>
                <w:p>
                  <w:r>
                    <w:t xml:space="preserve">7.60-&lt;7.65</w:t>
                  </w:r>
                </w:p>
              </w:tc>
              <w:tc>
                <w:tcPr>
                  <w:tcW w:w="500" w:type="pct"/>
                  <w:gridSpan w:val="5"/>
                  <w:vMerge/>
                </w:tcPr>
                <w:p/>
              </w:tc>
              <w:tc>
                <w:tcPr>
                  <w:tcW w:w="450" w:type="pct"/>
                  <w:vMerge w:val="restart"/>
                  <w:vAlign w:val="top"/>
                </w:tcPr>
                <w:p>
                  <w:r>
                    <w:t xml:space="preserve">0</w:t>
                  </w:r>
                </w:p>
              </w:tc>
              <w:tc>
                <w:tcPr>
                  <w:tcW w:w="350" w:type="pct"/>
                  <w:gridSpan w:val="3"/>
                  <w:vMerge w:val="restart"/>
                  <w:vAlign w:val="top"/>
                </w:tcPr>
                <w:p>
                  <w:r>
                    <w:t xml:space="preserve"> </w:t>
                  </w:r>
                </w:p>
              </w:tc>
            </w:tr>
            <w:tr>
              <w:trPr/>
              <w:tc>
                <w:tcPr>
                  <w:tcW w:w="2250" w:type="pct"/>
                  <w:vAlign w:val="top"/>
                </w:tcPr>
                <w:p>
                  <w:r>
                    <w:t xml:space="preserve">&gt;7.65</w:t>
                  </w:r>
                </w:p>
              </w:tc>
              <w:tc>
                <w:tcPr>
                  <w:tcW w:w="500" w:type="pct"/>
                  <w:gridSpan w:val="3"/>
                  <w:vMerge/>
                </w:tcPr>
                <w:p/>
              </w:tc>
              <w:tc>
                <w:tcPr>
                  <w:tcW w:w="450" w:type="pct"/>
                  <w:vMerge/>
                </w:tcPr>
                <w:p/>
              </w:tc>
              <w:tc>
                <w:tcPr>
                  <w:tcW w:w="350" w:type="pct"/>
                  <w:gridSpan w:val="5"/>
                  <w:vMerge/>
                </w:tcPr>
                <w:p/>
              </w:tc>
            </w:tr>
          </w:tbl>
          <w:p>
            <w:r>
              <w:t xml:space="preserve"> </w:t>
            </w:r>
          </w:p>
          <w:p>
            <w:r>
              <w:br/>
            </w:r>
            <w:r>
              <w:br/>
            </w:r>
          </w:p>
        </w:tc>
      </w:tr>
    </w:tbl>
    <w:p/>
    <w:tbl>
      <w:tblPr>
        <w:tblStyle w:val="TableGrid"/>
        <w:tblW w:w="0" w:type="auto"/>
      </w:tblPr>
    </w:tbl>
    <w:p>
      <w:r>
        <w:br/>
      </w:r>
    </w:p>
    <w:sectPr>
      <w:footerReference xmlns:r="http://schemas.openxmlformats.org/officeDocument/2006/relationships" w:type="default" r:id="R89e52eb7beca41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320831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84ec36a97e43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e52eb7beca4166" /><Relationship Type="http://schemas.openxmlformats.org/officeDocument/2006/relationships/header" Target="/word/header1.xml" Id="R0592ed5686aa4cc0" /><Relationship Type="http://schemas.openxmlformats.org/officeDocument/2006/relationships/settings" Target="/word/settings.xml" Id="R4d001f54aca64f64" /><Relationship Type="http://schemas.openxmlformats.org/officeDocument/2006/relationships/styles" Target="/word/styles.xml" Id="R144b131ccf1c41d4" /><Relationship Type="http://schemas.openxmlformats.org/officeDocument/2006/relationships/hyperlink" Target="https://meteor-uat.aihw.gov.au/RegistrationAuthority/14" TargetMode="External" Id="R578d217c32844257" /><Relationship Type="http://schemas.openxmlformats.org/officeDocument/2006/relationships/hyperlink" Target="https://meteor-uat.aihw.gov.au/content/320656" TargetMode="External" Id="R9b9886c48c6d43d2" /><Relationship Type="http://schemas.openxmlformats.org/officeDocument/2006/relationships/hyperlink" Target="https://meteor-uat.aihw.gov.au/content/320829" TargetMode="External" Id="Rb8bc9463ee1f4b2a" /><Relationship Type="http://schemas.openxmlformats.org/officeDocument/2006/relationships/hyperlink" Target="https://meteor-uat.aihw.gov.au/content/316130" TargetMode="External" Id="R114b8a0329664317" /><Relationship Type="http://schemas.openxmlformats.org/officeDocument/2006/relationships/hyperlink" Target="https://meteor-uat.aihw.gov.au/RegistrationAuthority/14" TargetMode="External" Id="R8ef515a750534705" /></Relationships>
</file>

<file path=word/_rels/header1.xml.rels>&#65279;<?xml version="1.0" encoding="utf-8"?><Relationships xmlns="http://schemas.openxmlformats.org/package/2006/relationships"><Relationship Type="http://schemas.openxmlformats.org/officeDocument/2006/relationships/image" Target="/media/image.png" Id="R1f84ec36a97e4363" /></Relationships>
</file>