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3ff0898764b86" /></Relationships>
</file>

<file path=word/document.xml><?xml version="1.0" encoding="utf-8"?>
<w:document xmlns:r="http://schemas.openxmlformats.org/officeDocument/2006/relationships" xmlns:w="http://schemas.openxmlformats.org/wordprocessingml/2006/main">
  <w:body>
    <w:p>
      <w:pPr>
        <w:pStyle w:val="Title"/>
      </w:pPr>
      <w:r>
        <w:t>Person—sodium blood level,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Person—sodium blood level,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Sodium blood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10de28f2dc48aa">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concentration of sodium in a person's blood measured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e05a568d624381">
              <w:r>
                <w:rPr>
                  <w:rStyle w:val="Hyperlink"/>
                </w:rPr>
                <w:t xml:space="preserve">Person—sodium blood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f43026e0064e3c">
              <w:r>
                <w:rPr>
                  <w:rStyle w:val="Hyperlink"/>
                </w:rPr>
                <w:t xml:space="preserve">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 to Data Collection ANZICS Adult Patient Database (for AORTIC) Version 1. October 2000, ADMC</w:t>
            </w:r>
          </w:p>
          <w:p>
            <w:pPr>
              <w:spacing w:after="160"/>
            </w:pPr>
            <w:r>
              <w:rPr>
                <w:rStyle w:val="row-content-rich-text"/>
              </w:rPr>
              <w:t xml:space="preserve">Knaus WA, Draper EA, Wagner DP, Zimmerman JE. APACHE II: a severity of disease classification system. Crit Care Med 1985;13:818-828</w:t>
            </w:r>
          </w:p>
          <w:p>
            <w:pPr>
              <w:spacing w:after="160"/>
            </w:pPr>
            <w:r>
              <w:rPr>
                <w:rStyle w:val="row-content-rich-text"/>
              </w:rPr>
              <w:t xml:space="preserve">Knaus WA, Draper EA, Bergner M, Murphy DJ, Harrell FE. The APACHE III Prognostic System: Risk Prediction of Hospital Mortality for Critically Ill Hospitalized adults. Chest 1991;100:1619-1636</w:t>
            </w:r>
          </w:p>
          <w:p>
            <w:pPr/>
            <w:r>
              <w:rPr>
                <w:rStyle w:val="row-content-rich-text"/>
              </w:rPr>
              <w:t xml:space="preserve">Le Gall J-R, Lemeshow S, Saulnier F. A new simplified physiology score (SAPS II) based on a European/North American multicenter study. JAMA 1993;270:2957-2963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fc3c27e7ae4590">
              <w:r>
                <w:rPr>
                  <w:rStyle w:val="Hyperlink"/>
                </w:rPr>
                <w:t xml:space="preserve">Intensive care DSS</w:t>
              </w:r>
            </w:hyperlink>
          </w:p>
          <w:p>
            <w:pPr>
              <w:pStyle w:val="registration-status"/>
              <w:spacing w:before="0" w:after="0"/>
            </w:pPr>
            <w:hyperlink w:history="true" r:id="R1b19d3a0c3ea4039">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Sodium levels from a series of blood tests measured in the first 24 hours of the Intensive care admission should be collected.</w:t>
            </w:r>
          </w:p>
          <w:p>
            <w:r>
              <w:rPr>
                <w:rStyle w:val="row-content"/>
              </w:rPr>
              <w:t xml:space="preserve">The sodium (Na) value is used in the calculation of APACHE II, APACHE III and SAPS II scoring systems. Not recorded values are assumed to be normal and are scored accordingly.</w:t>
            </w:r>
          </w:p>
          <w:p>
            <w:r>
              <w:rPr>
                <w:rStyle w:val="row-content"/>
              </w:rPr>
              <w:t xml:space="preserve">APACHE II</w:t>
            </w:r>
          </w:p>
          <w:p>
            <w:r>
              <w:rPr>
                <w:rStyle w:val="row-content"/>
              </w:rPr>
              <w:t xml:space="preserve">For the calculation of the APACHE II score, the highest and lowest sodium values in the first 24 hours are collected and then scored using the following APACHE II weight scoring system. For the calculation of the APACHE II score, the highest score is used.</w:t>
            </w:r>
          </w:p>
          <w:p>
            <w:r>
              <w:rPr>
                <w:rStyle w:val="row-content"/>
              </w:rPr>
              <w:t xml:space="preserve"> </w:t>
            </w:r>
          </w:p>
          <w:tbl>
            <w:tblPr>
              <w:tblStyle w:val="TableGrid"/>
              <w:tblW w:w="5000" w:type="pct"/>
              <w:tblLayout w:type="autofit"/>
            </w:tblPr>
            <w:tblGrid>
              <w:gridCol/>
              <w:gridCol/>
              <w:gridCol/>
              <w:gridCol/>
              <w:gridCol/>
              <w:gridCol/>
              <w:gridCol/>
              <w:gridCol/>
              <w:gridCol/>
            </w:tblGrid>
            <w:tr>
              <w:trPr/>
              <w:tc>
                <w:tcPr>
                  <w:tcW w:w="1150" w:type="pct"/>
                  <w:gridSpan w:val="4"/>
                  <w:vAlign w:val="top"/>
                </w:tcPr>
                <w:p>
                  <w:r>
                    <w:rPr>
                      <w:rStyle w:val="row-content"/>
                    </w:rPr>
                    <w:t xml:space="preserve"> </w:t>
                  </w:r>
                  <w:r>
                    <w:rPr>
                      <w:rStyle w:val="row-content"/>
                    </w:rPr>
                    <w:t xml:space="preserve">High abnormal range</w:t>
                  </w:r>
                </w:p>
              </w:tc>
              <w:tc>
                <w:tcPr>
                  <w:tcW w:w="450" w:type="pct"/>
                  <w:vAlign w:val="top"/>
                </w:tcPr>
                <w:p>
                  <w:r>
                    <w:t xml:space="preserve"> </w:t>
                  </w:r>
                </w:p>
              </w:tc>
              <w:tc>
                <w:tcPr>
                  <w:tcW w:w="1200" w:type="pct"/>
                  <w:gridSpan w:val="4"/>
                  <w:vAlign w:val="top"/>
                </w:tcPr>
                <w:p>
                  <w:r>
                    <w:t xml:space="preserve">Low abnormal range</w:t>
                  </w:r>
                </w:p>
              </w:tc>
            </w:tr>
            <w:tr>
              <w:trPr/>
              <w:tc>
                <w:tcPr>
                  <w:tcW w:w="1150" w:type="pct"/>
                  <w:vAlign w:val="top"/>
                </w:tcPr>
                <w:p>
                  <w:r>
                    <w:t xml:space="preserve">+4</w:t>
                  </w:r>
                </w:p>
              </w:tc>
              <w:tc>
                <w:tcPr>
                  <w:tcW w:w="450" w:type="pct"/>
                  <w:vAlign w:val="top"/>
                </w:tcPr>
                <w:p>
                  <w:r>
                    <w:t xml:space="preserve">+3</w:t>
                  </w:r>
                </w:p>
              </w:tc>
              <w:tc>
                <w:tcPr>
                  <w:tcW w:w="1200" w:type="pct"/>
                  <w:vAlign w:val="top"/>
                </w:tcPr>
                <w:p>
                  <w:r>
                    <w:t xml:space="preserve">+2</w:t>
                  </w:r>
                </w:p>
              </w:tc>
              <w:tc>
                <w:tcPr>
                  <w:tcW w:w="400" w:type="pct"/>
                  <w:vAlign w:val="top"/>
                </w:tcPr>
                <w:p>
                  <w:r>
                    <w:t xml:space="preserve">+1</w:t>
                  </w:r>
                </w:p>
              </w:tc>
              <w:tc>
                <w:tcPr>
                  <w:tcW w:w="350" w:type="pct"/>
                  <w:vAlign w:val="top"/>
                </w:tcPr>
                <w:p>
                  <w:r>
                    <w:t xml:space="preserve">0</w:t>
                  </w:r>
                </w:p>
              </w:tc>
              <w:tc>
                <w:tcPr>
                  <w:tcW w:w="200" w:type="pct"/>
                  <w:vAlign w:val="top"/>
                </w:tcPr>
                <w:p>
                  <w:r>
                    <w:t xml:space="preserve">+1</w:t>
                  </w:r>
                </w:p>
              </w:tc>
              <w:tc>
                <w:tcPr>
                  <w:tcW w:w="400" w:type="pct"/>
                  <w:vAlign w:val="top"/>
                </w:tcPr>
                <w:p>
                  <w:r>
                    <w:t xml:space="preserve">+2</w:t>
                  </w:r>
                </w:p>
              </w:tc>
              <w:tc>
                <w:tcPr>
                  <w:tcW w:w="400" w:type="pct"/>
                  <w:vAlign w:val="top"/>
                </w:tcPr>
                <w:p>
                  <w:r>
                    <w:t xml:space="preserve">+3</w:t>
                  </w:r>
                </w:p>
              </w:tc>
              <w:tc>
                <w:tcPr>
                  <w:tcW w:w="250" w:type="pct"/>
                  <w:vAlign w:val="top"/>
                </w:tcPr>
                <w:p>
                  <w:r>
                    <w:t xml:space="preserve">+4</w:t>
                  </w:r>
                </w:p>
              </w:tc>
            </w:tr>
            <w:tr>
              <w:trPr/>
              <w:tc>
                <w:tcPr>
                  <w:tcW w:w="1150" w:type="pct"/>
                  <w:vAlign w:val="top"/>
                </w:tcPr>
                <w:p>
                  <w:r>
                    <w:t xml:space="preserve">≥180</w:t>
                  </w:r>
                </w:p>
              </w:tc>
              <w:tc>
                <w:tcPr>
                  <w:tcW w:w="450" w:type="pct"/>
                  <w:vAlign w:val="top"/>
                </w:tcPr>
                <w:p>
                  <w:r>
                    <w:t xml:space="preserve">160-179</w:t>
                  </w:r>
                </w:p>
              </w:tc>
              <w:tc>
                <w:tcPr>
                  <w:tcW w:w="1200" w:type="pct"/>
                  <w:vAlign w:val="top"/>
                </w:tcPr>
                <w:p>
                  <w:r>
                    <w:t xml:space="preserve">155-159</w:t>
                  </w:r>
                </w:p>
              </w:tc>
              <w:tc>
                <w:tcPr>
                  <w:tcW w:w="400" w:type="pct"/>
                  <w:vAlign w:val="top"/>
                </w:tcPr>
                <w:p>
                  <w:r>
                    <w:t xml:space="preserve">150-154</w:t>
                  </w:r>
                </w:p>
              </w:tc>
              <w:tc>
                <w:tcPr>
                  <w:tcW w:w="350" w:type="pct"/>
                  <w:vAlign w:val="top"/>
                </w:tcPr>
                <w:p>
                  <w:r>
                    <w:t xml:space="preserve">130-149</w:t>
                  </w:r>
                </w:p>
              </w:tc>
              <w:tc>
                <w:tcPr>
                  <w:tcW w:w="200" w:type="pct"/>
                  <w:vAlign w:val="top"/>
                </w:tcPr>
                <w:p>
                  <w:r>
                    <w:t xml:space="preserve"> </w:t>
                  </w:r>
                </w:p>
              </w:tc>
              <w:tc>
                <w:tcPr>
                  <w:tcW w:w="400" w:type="pct"/>
                  <w:vAlign w:val="top"/>
                </w:tcPr>
                <w:p>
                  <w:r>
                    <w:t xml:space="preserve">120-129</w:t>
                  </w:r>
                </w:p>
              </w:tc>
              <w:tc>
                <w:tcPr>
                  <w:tcW w:w="400" w:type="pct"/>
                  <w:vAlign w:val="top"/>
                </w:tcPr>
                <w:p>
                  <w:r>
                    <w:t xml:space="preserve">111-119</w:t>
                  </w:r>
                </w:p>
              </w:tc>
              <w:tc>
                <w:tcPr>
                  <w:tcW w:w="250" w:type="pct"/>
                  <w:vAlign w:val="top"/>
                </w:tcPr>
                <w:p>
                  <w:r>
                    <w:t xml:space="preserve">≤110</w:t>
                  </w:r>
                </w:p>
              </w:tc>
            </w:tr>
          </w:tbl>
          <w:p>
            <w:r>
              <w:t xml:space="preserve">APACHE III</w:t>
            </w:r>
          </w:p>
          <w:p>
            <w:r>
              <w:t xml:space="preserve">For the calculation of the APACHE III score, the highest and lowest sodium values in the first 24 hours are collected and then scored using the following APACHE III weight scoring system. For the calculation of the APACHE III score, the highest score is used.</w:t>
            </w:r>
          </w:p>
          <w:p>
            <w:r>
              <w:t xml:space="preserve"> </w:t>
            </w:r>
          </w:p>
          <w:tbl>
            <w:tblPr>
              <w:tblStyle w:val="TableGrid"/>
              <w:tblW w:w="5000" w:type="pct"/>
              <w:tblLayout w:type="autofit"/>
            </w:tblPr>
            <w:tblGrid>
              <w:gridCol/>
              <w:gridCol/>
              <w:gridCol/>
              <w:gridCol/>
            </w:tblGrid>
            <w:tr>
              <w:trPr/>
              <w:tc>
                <w:tcPr>
                  <w:tcW w:w="1900" w:type="pct"/>
                  <w:vAlign w:val="top"/>
                </w:tcPr>
                <w:p>
                  <w:r>
                    <w:t xml:space="preserve"> </w:t>
                  </w:r>
                  <w:r>
                    <w:t xml:space="preserve">High abnormal range</w:t>
                  </w:r>
                </w:p>
              </w:tc>
              <w:tc>
                <w:tcPr>
                  <w:tcW w:w="650" w:type="pct"/>
                  <w:vAlign w:val="top"/>
                </w:tcPr>
                <w:p>
                  <w:r>
                    <w:t xml:space="preserve"> </w:t>
                  </w:r>
                </w:p>
              </w:tc>
              <w:tc>
                <w:tcPr>
                  <w:tcW w:w="1950" w:type="pct"/>
                  <w:gridSpan w:val="2"/>
                  <w:vAlign w:val="top"/>
                </w:tcPr>
                <w:p>
                  <w:r>
                    <w:t xml:space="preserve">Low abnormal range</w:t>
                  </w:r>
                </w:p>
              </w:tc>
            </w:tr>
            <w:tr>
              <w:trPr/>
              <w:tc>
                <w:tcPr>
                  <w:tcW w:w="1900" w:type="pct"/>
                  <w:vAlign w:val="top"/>
                </w:tcPr>
                <w:p>
                  <w:r>
                    <w:t xml:space="preserve">+4</w:t>
                  </w:r>
                </w:p>
              </w:tc>
              <w:tc>
                <w:tcPr>
                  <w:tcW w:w="650" w:type="pct"/>
                  <w:vAlign w:val="top"/>
                </w:tcPr>
                <w:p>
                  <w:r>
                    <w:t xml:space="preserve">0</w:t>
                  </w:r>
                </w:p>
              </w:tc>
              <w:tc>
                <w:tcPr>
                  <w:tcW w:w="1950" w:type="pct"/>
                  <w:vAlign w:val="top"/>
                </w:tcPr>
                <w:p>
                  <w:r>
                    <w:t xml:space="preserve">+2</w:t>
                  </w:r>
                </w:p>
              </w:tc>
              <w:tc>
                <w:tcPr>
                  <w:tcW w:w="400" w:type="pct"/>
                  <w:vAlign w:val="top"/>
                </w:tcPr>
                <w:p>
                  <w:r>
                    <w:t xml:space="preserve">+3</w:t>
                  </w:r>
                </w:p>
              </w:tc>
            </w:tr>
            <w:tr>
              <w:trPr/>
              <w:tc>
                <w:tcPr>
                  <w:tcW w:w="1900" w:type="pct"/>
                  <w:vAlign w:val="top"/>
                </w:tcPr>
                <w:p>
                  <w:r>
                    <w:t xml:space="preserve">≥155</w:t>
                  </w:r>
                </w:p>
              </w:tc>
              <w:tc>
                <w:tcPr>
                  <w:tcW w:w="650" w:type="pct"/>
                  <w:vAlign w:val="top"/>
                </w:tcPr>
                <w:p>
                  <w:r>
                    <w:t xml:space="preserve">135-154</w:t>
                  </w:r>
                </w:p>
              </w:tc>
              <w:tc>
                <w:tcPr>
                  <w:tcW w:w="1950" w:type="pct"/>
                  <w:vAlign w:val="top"/>
                </w:tcPr>
                <w:p>
                  <w:r>
                    <w:t xml:space="preserve">120-134</w:t>
                  </w:r>
                </w:p>
              </w:tc>
              <w:tc>
                <w:tcPr>
                  <w:tcW w:w="400" w:type="pct"/>
                  <w:vAlign w:val="top"/>
                </w:tcPr>
                <w:p>
                  <w:r>
                    <w:t xml:space="preserve">≤119</w:t>
                  </w:r>
                </w:p>
              </w:tc>
            </w:tr>
          </w:tbl>
          <w:p>
            <w:r>
              <w:t xml:space="preserve">SAPS II</w:t>
            </w:r>
          </w:p>
          <w:p>
            <w:r>
              <w:t xml:space="preserve">For the calculation of the SAPS II score, the highest and lowest sodium values in the first 24 hours are collected and then scored using the following SAPS II weight scoring system. For the calculation of the SAPS II score, the highest score is used.</w:t>
            </w:r>
            <w:r>
              <w:br/>
            </w:r>
            <w:r>
              <w:t xml:space="preserve"> </w:t>
            </w:r>
          </w:p>
          <w:p>
            <w:r>
              <w:t xml:space="preserve"> </w:t>
            </w:r>
          </w:p>
          <w:tbl>
            <w:tblPr>
              <w:tblStyle w:val="TableGrid"/>
              <w:tblW w:w="5000" w:type="pct"/>
              <w:tblLayout w:type="autofit"/>
            </w:tblPr>
            <w:tblGrid>
              <w:gridCol/>
              <w:gridCol/>
              <w:gridCol/>
            </w:tblGrid>
            <w:tr>
              <w:trPr/>
              <w:tc>
                <w:tcPr>
                  <w:tcW w:w="2150" w:type="pct"/>
                  <w:vAlign w:val="top"/>
                </w:tcPr>
                <w:p>
                  <w:r>
                    <w:t xml:space="preserve"> </w:t>
                  </w:r>
                  <w:r>
                    <w:t xml:space="preserve">High abnormal range</w:t>
                  </w:r>
                </w:p>
              </w:tc>
              <w:tc>
                <w:tcPr>
                  <w:tcW w:w="750" w:type="pct"/>
                  <w:vAlign w:val="top"/>
                </w:tcPr>
                <w:p>
                  <w:r>
                    <w:t xml:space="preserve"> </w:t>
                  </w:r>
                </w:p>
              </w:tc>
              <w:tc>
                <w:tcPr>
                  <w:tcW w:w="2050" w:type="pct"/>
                  <w:vAlign w:val="top"/>
                </w:tcPr>
                <w:p>
                  <w:r>
                    <w:t xml:space="preserve">Low abnormal range</w:t>
                  </w:r>
                </w:p>
              </w:tc>
            </w:tr>
            <w:tr>
              <w:trPr/>
              <w:tc>
                <w:tcPr>
                  <w:tcW w:w="2150" w:type="pct"/>
                  <w:vAlign w:val="top"/>
                </w:tcPr>
                <w:p>
                  <w:r>
                    <w:t xml:space="preserve">1</w:t>
                  </w:r>
                </w:p>
              </w:tc>
              <w:tc>
                <w:tcPr>
                  <w:tcW w:w="750" w:type="pct"/>
                  <w:vAlign w:val="top"/>
                </w:tcPr>
                <w:p>
                  <w:r>
                    <w:t xml:space="preserve">0</w:t>
                  </w:r>
                </w:p>
              </w:tc>
              <w:tc>
                <w:tcPr>
                  <w:tcW w:w="2050" w:type="pct"/>
                  <w:vAlign w:val="top"/>
                </w:tcPr>
                <w:p>
                  <w:r>
                    <w:t xml:space="preserve">+5</w:t>
                  </w:r>
                </w:p>
              </w:tc>
            </w:tr>
            <w:tr>
              <w:trPr/>
              <w:tc>
                <w:tcPr>
                  <w:tcW w:w="2150" w:type="pct"/>
                  <w:vAlign w:val="top"/>
                </w:tcPr>
                <w:p>
                  <w:r>
                    <w:t xml:space="preserve">≥145</w:t>
                  </w:r>
                </w:p>
              </w:tc>
              <w:tc>
                <w:tcPr>
                  <w:tcW w:w="750" w:type="pct"/>
                  <w:vAlign w:val="top"/>
                </w:tcPr>
                <w:p>
                  <w:r>
                    <w:t xml:space="preserve">125-144</w:t>
                  </w:r>
                </w:p>
              </w:tc>
              <w:tc>
                <w:tcPr>
                  <w:tcW w:w="2050" w:type="pct"/>
                  <w:vAlign w:val="top"/>
                </w:tcPr>
                <w:p>
                  <w:r>
                    <w:t xml:space="preserve">&lt;125</w:t>
                  </w:r>
                </w:p>
              </w:tc>
            </w:tr>
          </w:tbl>
          <w:p>
            <w:r>
              <w:t xml:space="preserve"> </w:t>
            </w:r>
          </w:p>
          <w:p>
            <w:r>
              <w:br/>
            </w:r>
            <w:r>
              <w:br/>
            </w:r>
          </w:p>
        </w:tc>
      </w:tr>
    </w:tbl>
    <w:p/>
    <w:tbl>
      <w:tblPr>
        <w:tblStyle w:val="TableGrid"/>
        <w:tblW w:w="0" w:type="auto"/>
      </w:tblPr>
    </w:tbl>
    <w:p>
      <w:r>
        <w:br/>
      </w:r>
    </w:p>
    <w:sectPr>
      <w:footerReference xmlns:r="http://schemas.openxmlformats.org/officeDocument/2006/relationships" w:type="default" r:id="Rd7c4e6650552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f422bfb3a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4e66505524b42" /><Relationship Type="http://schemas.openxmlformats.org/officeDocument/2006/relationships/header" Target="/word/header1.xml" Id="Recbcfed03a2d4237" /><Relationship Type="http://schemas.openxmlformats.org/officeDocument/2006/relationships/settings" Target="/word/settings.xml" Id="R95bb56d7b0af4d29" /><Relationship Type="http://schemas.openxmlformats.org/officeDocument/2006/relationships/styles" Target="/word/styles.xml" Id="Rf323a2d8a2bb42cb" /><Relationship Type="http://schemas.openxmlformats.org/officeDocument/2006/relationships/hyperlink" Target="https://meteor-uat.aihw.gov.au/RegistrationAuthority/14" TargetMode="External" Id="R5410de28f2dc48aa" /><Relationship Type="http://schemas.openxmlformats.org/officeDocument/2006/relationships/hyperlink" Target="https://meteor-uat.aihw.gov.au/content/320697" TargetMode="External" Id="R27e05a568d624381" /><Relationship Type="http://schemas.openxmlformats.org/officeDocument/2006/relationships/hyperlink" Target="https://meteor-uat.aihw.gov.au/content/320699" TargetMode="External" Id="Re1f43026e0064e3c" /><Relationship Type="http://schemas.openxmlformats.org/officeDocument/2006/relationships/hyperlink" Target="https://meteor-uat.aihw.gov.au/content/316130" TargetMode="External" Id="R86fc3c27e7ae4590" /><Relationship Type="http://schemas.openxmlformats.org/officeDocument/2006/relationships/hyperlink" Target="https://meteor-uat.aihw.gov.au/RegistrationAuthority/14" TargetMode="External" Id="R1b19d3a0c3ea4039" /></Relationships>
</file>

<file path=word/_rels/header1.xml.rels>&#65279;<?xml version="1.0" encoding="utf-8"?><Relationships xmlns="http://schemas.openxmlformats.org/package/2006/relationships"><Relationship Type="http://schemas.openxmlformats.org/officeDocument/2006/relationships/image" Target="/media/image.png" Id="R8bdf422bfb3a4e06" /></Relationships>
</file>