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eafae487f446e" /></Relationships>
</file>

<file path=word/document.xml><?xml version="1.0" encoding="utf-8"?>
<w:document xmlns:r="http://schemas.openxmlformats.org/officeDocument/2006/relationships" xmlns:w="http://schemas.openxmlformats.org/wordprocessingml/2006/main">
  <w:body>
    <w:p>
      <w:pPr>
        <w:pStyle w:val="Title"/>
      </w:pPr>
      <w:r>
        <w:t>Person—mean arterial blood pressure, millimetres of mercury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Person—mean arterial blood pressure, 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Mean arterial blood pressure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5f45271e04ef6">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 arterial blood pressure of a person measured in millimetres of mercury.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09f11aec044380">
              <w:r>
                <w:rPr>
                  <w:rStyle w:val="Hyperlink"/>
                </w:rPr>
                <w:t xml:space="preserve">Person—mean arterial blood pressure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a641a539d44f82">
              <w:r>
                <w:rPr>
                  <w:rStyle w:val="Hyperlink"/>
                </w:rPr>
                <w:t xml:space="preserve">Millimetres of mercury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mean arterial pressure (MAP) is obtained from an arterial line transducer or other electronic device (Dinamap etc.).</w:t>
            </w:r>
          </w:p>
          <w:p>
            <w:pPr>
              <w:spacing w:after="160"/>
            </w:pPr>
            <w:r>
              <w:rPr>
                <w:rStyle w:val="row-content-rich-text"/>
              </w:rPr>
              <w:t xml:space="preserve">If only systolic and diastolic blood pressures are available, the following formulae can be used to calculate the MAP.</w:t>
            </w:r>
          </w:p>
          <w:p>
            <w:pPr>
              <w:spacing w:after="160"/>
            </w:pPr>
            <w:r>
              <w:rPr>
                <w:rStyle w:val="row-content-rich-text"/>
              </w:rPr>
              <w:t xml:space="preserve">Formula:</w:t>
            </w:r>
          </w:p>
          <w:p>
            <w:pPr/>
            <w:r>
              <w:rPr>
                <w:rStyle w:val="row-content-rich-text"/>
              </w:rPr>
              <w:t xml:space="preserve">MAP = (systolic – diastolic) / 3 + diastolic</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Knaus WA, Draper EA, Wagner DP, Zimmerman JE. APACHE II: a severity of disease classification system. Crit Care Med 1985;13:818-828.</w:t>
            </w:r>
          </w:p>
          <w:p>
            <w:pPr>
              <w:spacing w:after="160"/>
            </w:pPr>
            <w:r>
              <w:rPr>
                <w:rStyle w:val="row-content-rich-text"/>
              </w:rPr>
              <w:t xml:space="preserve">Knaus WA, Draper EA, Bergner M, Murphy DJ, Harrell FE. The APACHE III Prognostic System: Risk Prediction of Hospital Mortality for Critically III Hospitalized adults. Chest 1991;100:1619-1636.</w:t>
            </w:r>
          </w:p>
          <w:p>
            <w:pPr/>
            <w:r>
              <w:rPr>
                <w:rStyle w:val="row-content-rich-text"/>
              </w:rPr>
              <w:t xml:space="preserve">Le Gall J-R, Lemeshow S, Saulnier F. A new simplified physiology score (SAPS II) based on a European/North American multicenter study. JAMA 1993;270:2957-2963.</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a01c8bf4f94aaa">
              <w:r>
                <w:rPr>
                  <w:rStyle w:val="Hyperlink"/>
                </w:rPr>
                <w:t xml:space="preserve">Intensive care DSS</w:t>
              </w:r>
            </w:hyperlink>
          </w:p>
          <w:p>
            <w:pPr>
              <w:pStyle w:val="registration-status"/>
              <w:spacing w:before="0" w:after="0"/>
            </w:pPr>
            <w:hyperlink w:history="true" r:id="R06741853810f4e53">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The highest and lowest mean arterial pressure (MAP) measured in mmHg in the first 24 hours of intensive care should be recorded. The worst scoring MAP (highest scoring according to the APACHE II weight scoring system) selected using the following APACHE II weight scoring system should be reported. If only one MAP is measured and recorded, this is considered the worst value reported.</w:t>
            </w:r>
          </w:p>
          <w:p>
            <w:r>
              <w:rPr>
                <w:rStyle w:val="row-content"/>
              </w:rPr>
              <w:t xml:space="preserve"> </w:t>
            </w:r>
          </w:p>
          <w:tbl>
            <w:tblPr>
              <w:tblStyle w:val="TableGrid"/>
              <w:tblW w:w="5000" w:type="pct"/>
              <w:tblLayout w:type="autofit"/>
            </w:tblPr>
            <w:tblGrid>
              <w:gridCol/>
              <w:gridCol/>
              <w:gridCol/>
              <w:gridCol/>
              <w:gridCol/>
              <w:gridCol/>
              <w:gridCol/>
              <w:gridCol/>
              <w:gridCol/>
            </w:tblGrid>
            <w:tr>
              <w:trPr/>
              <w:tc>
                <w:tcPr>
                  <w:tcW w:w="1350" w:type="pct"/>
                  <w:gridSpan w:val="3"/>
                  <w:vAlign w:val="top"/>
                </w:tcPr>
                <w:p>
                  <w:r>
                    <w:rPr>
                      <w:rStyle w:val="row-content"/>
                    </w:rPr>
                    <w:t xml:space="preserve"> </w:t>
                  </w:r>
                  <w:r>
                    <w:rPr>
                      <w:rStyle w:val="row-content"/>
                    </w:rPr>
                    <w:t xml:space="preserve">High abnormal range</w:t>
                  </w:r>
                </w:p>
              </w:tc>
              <w:tc>
                <w:tcPr>
                  <w:tcW w:w="500" w:type="pct"/>
                  <w:gridSpan w:val="3"/>
                  <w:vAlign w:val="top"/>
                </w:tcPr>
                <w:p>
                  <w:r>
                    <w:t xml:space="preserve"> </w:t>
                  </w:r>
                </w:p>
              </w:tc>
              <w:tc>
                <w:tcPr>
                  <w:tcW w:w="1400" w:type="pct"/>
                  <w:gridSpan w:val="3"/>
                  <w:vAlign w:val="top"/>
                </w:tcPr>
                <w:p>
                  <w:r>
                    <w:t xml:space="preserve">Low abnormal range</w:t>
                  </w:r>
                </w:p>
              </w:tc>
            </w:tr>
            <w:tr>
              <w:trPr/>
              <w:tc>
                <w:tcPr>
                  <w:tcW w:w="1350" w:type="pct"/>
                  <w:vAlign w:val="top"/>
                </w:tcPr>
                <w:p>
                  <w:r>
                    <w:t xml:space="preserve">+4</w:t>
                  </w:r>
                </w:p>
              </w:tc>
              <w:tc>
                <w:tcPr>
                  <w:tcW w:w="500" w:type="pct"/>
                  <w:vAlign w:val="top"/>
                </w:tcPr>
                <w:p>
                  <w:r>
                    <w:t xml:space="preserve">+3</w:t>
                  </w:r>
                </w:p>
              </w:tc>
              <w:tc>
                <w:tcPr>
                  <w:tcW w:w="1400" w:type="pct"/>
                  <w:vAlign w:val="top"/>
                </w:tcPr>
                <w:p>
                  <w:r>
                    <w:t xml:space="preserve">+2</w:t>
                  </w:r>
                </w:p>
              </w:tc>
              <w:tc>
                <w:tcPr>
                  <w:tcW w:w="200" w:type="pct"/>
                  <w:vAlign w:val="top"/>
                </w:tcPr>
                <w:p>
                  <w:r>
                    <w:t xml:space="preserve">+1</w:t>
                  </w:r>
                </w:p>
              </w:tc>
              <w:tc>
                <w:tcPr>
                  <w:tcW w:w="350" w:type="pct"/>
                  <w:vAlign w:val="top"/>
                </w:tcPr>
                <w:p>
                  <w:r>
                    <w:t xml:space="preserve">0</w:t>
                  </w:r>
                </w:p>
              </w:tc>
              <w:tc>
                <w:tcPr>
                  <w:tcW w:w="200" w:type="pct"/>
                  <w:vAlign w:val="top"/>
                </w:tcPr>
                <w:p>
                  <w:r>
                    <w:t xml:space="preserve">+1</w:t>
                  </w:r>
                </w:p>
              </w:tc>
              <w:tc>
                <w:tcPr>
                  <w:tcW w:w="350" w:type="pct"/>
                  <w:vAlign w:val="top"/>
                </w:tcPr>
                <w:p>
                  <w:r>
                    <w:t xml:space="preserve">+2</w:t>
                  </w:r>
                </w:p>
              </w:tc>
              <w:tc>
                <w:tcPr>
                  <w:tcW w:w="200" w:type="pct"/>
                  <w:vAlign w:val="top"/>
                </w:tcPr>
                <w:p>
                  <w:r>
                    <w:t xml:space="preserve">+3</w:t>
                  </w:r>
                </w:p>
              </w:tc>
              <w:tc>
                <w:tcPr>
                  <w:tcW w:w="250" w:type="pct"/>
                  <w:vAlign w:val="top"/>
                </w:tcPr>
                <w:p>
                  <w:r>
                    <w:t xml:space="preserve">+4</w:t>
                  </w:r>
                </w:p>
              </w:tc>
            </w:tr>
            <w:tr>
              <w:trPr/>
              <w:tc>
                <w:tcPr>
                  <w:tcW w:w="1350" w:type="pct"/>
                  <w:vAlign w:val="top"/>
                </w:tcPr>
                <w:p>
                  <w:r>
                    <w:t xml:space="preserve">≥160</w:t>
                  </w:r>
                </w:p>
              </w:tc>
              <w:tc>
                <w:tcPr>
                  <w:tcW w:w="500" w:type="pct"/>
                  <w:vAlign w:val="top"/>
                </w:tcPr>
                <w:p>
                  <w:r>
                    <w:t xml:space="preserve">130-159</w:t>
                  </w:r>
                </w:p>
              </w:tc>
              <w:tc>
                <w:tcPr>
                  <w:tcW w:w="1400" w:type="pct"/>
                  <w:vAlign w:val="top"/>
                </w:tcPr>
                <w:p>
                  <w:r>
                    <w:t xml:space="preserve">110-129</w:t>
                  </w:r>
                </w:p>
              </w:tc>
              <w:tc>
                <w:tcPr>
                  <w:tcW w:w="200" w:type="pct"/>
                  <w:vAlign w:val="top"/>
                </w:tcPr>
                <w:p>
                  <w:r>
                    <w:t xml:space="preserve"> </w:t>
                  </w:r>
                </w:p>
              </w:tc>
              <w:tc>
                <w:tcPr>
                  <w:tcW w:w="350" w:type="pct"/>
                  <w:vAlign w:val="top"/>
                </w:tcPr>
                <w:p>
                  <w:r>
                    <w:t xml:space="preserve">70-109</w:t>
                  </w:r>
                </w:p>
              </w:tc>
              <w:tc>
                <w:tcPr>
                  <w:tcW w:w="200" w:type="pct"/>
                  <w:vAlign w:val="top"/>
                </w:tcPr>
                <w:p>
                  <w:r>
                    <w:t xml:space="preserve"> </w:t>
                  </w:r>
                </w:p>
              </w:tc>
              <w:tc>
                <w:tcPr>
                  <w:tcW w:w="350" w:type="pct"/>
                  <w:vAlign w:val="top"/>
                </w:tcPr>
                <w:p>
                  <w:r>
                    <w:t xml:space="preserve">50-69</w:t>
                  </w:r>
                </w:p>
              </w:tc>
              <w:tc>
                <w:tcPr>
                  <w:tcW w:w="200" w:type="pct"/>
                  <w:vAlign w:val="top"/>
                </w:tcPr>
                <w:p>
                  <w:r>
                    <w:t xml:space="preserve"> </w:t>
                  </w:r>
                </w:p>
              </w:tc>
              <w:tc>
                <w:tcPr>
                  <w:tcW w:w="250" w:type="pct"/>
                  <w:vAlign w:val="top"/>
                </w:tcPr>
                <w:p>
                  <w:r>
                    <w:t xml:space="preserve">≤49</w:t>
                  </w:r>
                </w:p>
              </w:tc>
            </w:tr>
          </w:tbl>
          <w:p>
            <w:r>
              <w:t xml:space="preserve"> </w:t>
            </w:r>
          </w:p>
          <w:p>
            <w:r>
              <w:br/>
            </w:r>
            <w:r>
              <w:br/>
            </w:r>
          </w:p>
        </w:tc>
      </w:tr>
    </w:tbl>
    <w:p/>
    <w:tbl>
      <w:tblPr>
        <w:tblStyle w:val="TableGrid"/>
        <w:tblW w:w="0" w:type="auto"/>
      </w:tblPr>
    </w:tbl>
    <w:p>
      <w:r>
        <w:br/>
      </w:r>
    </w:p>
    <w:sectPr>
      <w:footerReference xmlns:r="http://schemas.openxmlformats.org/officeDocument/2006/relationships" w:type="default" r:id="Rbe971512496a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bd7dcf9d6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971512496a4dc4" /><Relationship Type="http://schemas.openxmlformats.org/officeDocument/2006/relationships/header" Target="/word/header1.xml" Id="R42dbc5f53a78454f" /><Relationship Type="http://schemas.openxmlformats.org/officeDocument/2006/relationships/settings" Target="/word/settings.xml" Id="R0c2ef349bb854d6c" /><Relationship Type="http://schemas.openxmlformats.org/officeDocument/2006/relationships/styles" Target="/word/styles.xml" Id="R51ffe85e926b4170" /><Relationship Type="http://schemas.openxmlformats.org/officeDocument/2006/relationships/hyperlink" Target="https://meteor-uat.aihw.gov.au/RegistrationAuthority/14" TargetMode="External" Id="Rc745f45271e04ef6" /><Relationship Type="http://schemas.openxmlformats.org/officeDocument/2006/relationships/hyperlink" Target="https://meteor-uat.aihw.gov.au/content/320600" TargetMode="External" Id="R6509f11aec044380" /><Relationship Type="http://schemas.openxmlformats.org/officeDocument/2006/relationships/hyperlink" Target="https://meteor-uat.aihw.gov.au/content/320603" TargetMode="External" Id="R65a641a539d44f82" /><Relationship Type="http://schemas.openxmlformats.org/officeDocument/2006/relationships/hyperlink" Target="https://meteor-uat.aihw.gov.au/content/316130" TargetMode="External" Id="R76a01c8bf4f94aaa" /><Relationship Type="http://schemas.openxmlformats.org/officeDocument/2006/relationships/hyperlink" Target="https://meteor-uat.aihw.gov.au/RegistrationAuthority/14" TargetMode="External" Id="R06741853810f4e53" /></Relationships>
</file>

<file path=word/_rels/header1.xml.rels>&#65279;<?xml version="1.0" encoding="utf-8"?><Relationships xmlns="http://schemas.openxmlformats.org/package/2006/relationships"><Relationship Type="http://schemas.openxmlformats.org/officeDocument/2006/relationships/image" Target="/media/image.png" Id="R171bd7dcf9d64760" /></Relationships>
</file>