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10fd3f5a846dd" /></Relationships>
</file>

<file path=word/document.xml><?xml version="1.0" encoding="utf-8"?>
<w:document xmlns:r="http://schemas.openxmlformats.org/officeDocument/2006/relationships" xmlns:w="http://schemas.openxmlformats.org/wordprocessingml/2006/main">
  <w:body>
    <w:p>
      <w:pPr>
        <w:pStyle w:val="Title"/>
      </w:pPr>
      <w:r>
        <w:t>Person—fraction of inspired oxygen,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Person—fraction of inspired oxygen,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Fraction of inspired oxygen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FiO2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38639a611437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Fraction of inspired oxygen in a person’s arterial blood gas.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4359ef1fc24e97">
              <w:r>
                <w:rPr>
                  <w:rStyle w:val="Hyperlink"/>
                </w:rPr>
                <w:t xml:space="preserve">Person—fraction of inspired oxygen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9b76451633429e">
              <w:r>
                <w:rPr>
                  <w:rStyle w:val="Hyperlink"/>
                </w:rPr>
                <w:t xml:space="preserve">Fraction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Range 0.21 to 1.00 Units of measurement are %÷100 to 2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Wagner DP, Zimmerman JE. APACHE II: a severity of disease classification system. Crit Care Med 1985;13:818-828.</w:t>
            </w:r>
          </w:p>
          <w:p>
            <w:pPr/>
            <w:r>
              <w:rPr>
                <w:rStyle w:val="row-content-rich-text"/>
              </w:rPr>
              <w:t xml:space="preserve">Le Gall J-R, Lemeshow S, Saulnier F. A new simplified physiology score (SAPS II) based on a European/North American multicenter study. JAMA 1993;270:2957-2963.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eeaff3376f4c05">
              <w:r>
                <w:rPr>
                  <w:rStyle w:val="Hyperlink"/>
                </w:rPr>
                <w:t xml:space="preserve">Intensive care DSS</w:t>
              </w:r>
            </w:hyperlink>
          </w:p>
          <w:p>
            <w:pPr>
              <w:pStyle w:val="registration-status"/>
              <w:spacing w:before="0" w:after="0"/>
            </w:pPr>
            <w:hyperlink w:history="true" r:id="R561f5f1584164d6a">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in the calculation of APACHE II, APACHE III, and SAPS II scores.</w:t>
            </w:r>
          </w:p>
          <w:p>
            <w:r>
              <w:rPr>
                <w:rStyle w:val="row-content"/>
              </w:rPr>
              <w:t xml:space="preserve">The APACHE II and APACHE III algorithm for oxygenation uses the alveolar-arterial (A-a) gradient value for scoring when the FiO</w:t>
            </w:r>
            <w:r>
              <w:rPr>
                <w:rStyle w:val="row-content"/>
                <w:vertAlign w:val="subscript"/>
              </w:rPr>
              <w:t xml:space="preserve">2</w:t>
            </w:r>
            <w:r>
              <w:rPr>
                <w:rStyle w:val="row-content"/>
              </w:rPr>
              <w:t xml:space="preserve"> is 0.50 or greater. Use the lowest PaO</w:t>
            </w:r>
            <w:r>
              <w:rPr>
                <w:rStyle w:val="row-content"/>
                <w:vertAlign w:val="subscript"/>
              </w:rPr>
              <w:t xml:space="preserve">2</w:t>
            </w:r>
            <w:r>
              <w:rPr>
                <w:rStyle w:val="row-content"/>
              </w:rPr>
              <w:t xml:space="preserve"> score only if the FiO</w:t>
            </w:r>
            <w:r>
              <w:rPr>
                <w:rStyle w:val="row-content"/>
                <w:vertAlign w:val="subscript"/>
              </w:rPr>
              <w:t xml:space="preserve">2</w:t>
            </w:r>
            <w:r>
              <w:rPr>
                <w:rStyle w:val="row-content"/>
              </w:rPr>
              <w:t xml:space="preserve"> is less than 0.5.</w:t>
            </w:r>
          </w:p>
          <w:p>
            <w:r>
              <w:rPr>
                <w:rStyle w:val="row-content"/>
              </w:rPr>
              <w:t xml:space="preserve">SAPS II uses the PaO</w:t>
            </w:r>
            <w:r>
              <w:rPr>
                <w:rStyle w:val="row-content"/>
                <w:vertAlign w:val="subscript"/>
              </w:rPr>
              <w:t xml:space="preserve">2</w:t>
            </w:r>
            <w:r>
              <w:rPr>
                <w:rStyle w:val="row-content"/>
              </w:rPr>
              <w:t xml:space="preserve"> / FiO</w:t>
            </w:r>
            <w:r>
              <w:rPr>
                <w:rStyle w:val="row-content"/>
                <w:vertAlign w:val="subscript"/>
              </w:rPr>
              <w:t xml:space="preserve">2</w:t>
            </w:r>
            <w:r>
              <w:rPr>
                <w:rStyle w:val="row-content"/>
              </w:rPr>
              <w:t xml:space="preserve"> ratio for scoring if the patient is ventilated or on continuous positive airway pressure (CPAP).</w:t>
            </w:r>
          </w:p>
          <w:p>
            <w:r>
              <w:rPr>
                <w:rStyle w:val="row-content"/>
              </w:rPr>
              <w:t xml:space="preserve">The calculation of A-a gradient uses the formula:</w:t>
            </w:r>
          </w:p>
          <w:p>
            <w:r>
              <w:rPr>
                <w:rStyle w:val="row-content"/>
              </w:rPr>
              <w:t xml:space="preserve">A-a gradient = 713 x FiO</w:t>
            </w:r>
            <w:r>
              <w:rPr>
                <w:rStyle w:val="row-content"/>
                <w:vertAlign w:val="subscript"/>
              </w:rPr>
              <w:t xml:space="preserve">2</w:t>
            </w:r>
            <w:r>
              <w:rPr>
                <w:rStyle w:val="row-content"/>
              </w:rPr>
              <w:t xml:space="preserve"> – PaO</w:t>
            </w:r>
            <w:r>
              <w:rPr>
                <w:rStyle w:val="row-content"/>
                <w:vertAlign w:val="subscript"/>
              </w:rPr>
              <w:t xml:space="preserve">2</w:t>
            </w:r>
            <w:r>
              <w:rPr>
                <w:rStyle w:val="row-content"/>
              </w:rPr>
              <w:t xml:space="preserve"> – PaCO</w:t>
            </w:r>
            <w:r>
              <w:rPr>
                <w:rStyle w:val="row-content"/>
                <w:vertAlign w:val="subscript"/>
              </w:rPr>
              <w:t xml:space="preserve">2</w:t>
            </w:r>
          </w:p>
          <w:p>
            <w:r>
              <w:rPr>
                <w:rStyle w:val="row-content"/>
              </w:rPr>
              <w:t xml:space="preserve">All variables used in the calculation of the A-a gradient must come from the one blood gas sample.</w:t>
            </w:r>
          </w:p>
          <w:p>
            <w:r>
              <w:rPr>
                <w:rStyle w:val="row-content"/>
              </w:rPr>
              <w:t xml:space="preserve">APACHE III, APACHE II and SAPS II requirements:</w:t>
            </w:r>
          </w:p>
          <w:p>
            <w:r>
              <w:rPr>
                <w:rStyle w:val="row-content"/>
              </w:rPr>
              <w:t xml:space="preserve">For patients with assisted breathing, the fraction of inspired oxygen is read from the controlled oxygen source. E.g., Venturi masks, ventilator and CPAP systems with calibrated oxygen blenders. For patients breathing unassisted, i.e., room air, the FiO</w:t>
            </w:r>
            <w:r>
              <w:rPr>
                <w:rStyle w:val="row-content"/>
                <w:vertAlign w:val="subscript"/>
              </w:rPr>
              <w:t xml:space="preserve">2</w:t>
            </w:r>
            <w:r>
              <w:rPr>
                <w:rStyle w:val="row-content"/>
              </w:rPr>
              <w:t xml:space="preserve"> is recorded as 0.21.</w:t>
            </w:r>
          </w:p>
          <w:p>
            <w:r>
              <w:rPr>
                <w:rStyle w:val="row-content"/>
              </w:rPr>
              <w:t xml:space="preserve">If a patient is on an uncontrolled oxygen source, the table below allows for the conversion of oxygen flow in L/min to FiO</w:t>
            </w:r>
            <w:r>
              <w:rPr>
                <w:rStyle w:val="row-content"/>
                <w:vertAlign w:val="subscript"/>
              </w:rPr>
              <w:t xml:space="preserve">2</w:t>
            </w:r>
            <w:r>
              <w:rPr>
                <w:rStyle w:val="row-content"/>
              </w:rPr>
              <w:t xml:space="preserve">.</w:t>
            </w:r>
          </w:p>
          <w:p>
            <w:r>
              <w:rPr>
                <w:rStyle w:val="row-content"/>
              </w:rPr>
              <w:t xml:space="preserve"> </w:t>
            </w:r>
          </w:p>
          <w:tbl>
            <w:tblPr>
              <w:tblStyle w:val="TableGrid"/>
              <w:tblW w:w="5000" w:type="pct"/>
              <w:tblLayout w:type="autofit"/>
            </w:tblPr>
            <w:tblGrid>
              <w:gridCol/>
              <w:gridCol/>
              <w:gridCol/>
              <w:gridCol/>
              <w:gridCol/>
              <w:gridCol/>
              <w:gridCol/>
              <w:gridCol/>
              <w:gridCol/>
              <w:gridCol/>
            </w:tblGrid>
            <w:tr>
              <w:trPr/>
              <w:tc>
                <w:tcPr>
                  <w:tcW w:w="950" w:type="pct"/>
                  <w:vAlign w:val="top"/>
                </w:tcPr>
                <w:p>
                  <w:r>
                    <w:rPr>
                      <w:rStyle w:val="row-content"/>
                    </w:rPr>
                    <w:t xml:space="preserve"> </w:t>
                  </w:r>
                  <w:r>
                    <w:rPr>
                      <w:rStyle w:val="row-content"/>
                    </w:rPr>
                    <w:t xml:space="preserve">O</w:t>
                  </w:r>
                  <w:r>
                    <w:rPr>
                      <w:rStyle w:val="row-content"/>
                      <w:vertAlign w:val="subscript"/>
                    </w:rPr>
                    <w:t xml:space="preserve">2</w:t>
                  </w:r>
                  <w:r>
                    <w:rPr>
                      <w:rStyle w:val="row-content"/>
                    </w:rPr>
                    <w:t xml:space="preserve"> (L/min)</w:t>
                  </w:r>
                </w:p>
              </w:tc>
              <w:tc>
                <w:tcPr>
                  <w:tcW w:w="300" w:type="pct"/>
                  <w:vAlign w:val="top"/>
                </w:tcPr>
                <w:p>
                  <w:r>
                    <w:t xml:space="preserve">1</w:t>
                  </w:r>
                </w:p>
              </w:tc>
              <w:tc>
                <w:tcPr>
                  <w:tcW w:w="300" w:type="pct"/>
                  <w:vAlign w:val="top"/>
                </w:tcPr>
                <w:p>
                  <w:r>
                    <w:t xml:space="preserve">2</w:t>
                  </w:r>
                </w:p>
              </w:tc>
              <w:tc>
                <w:tcPr>
                  <w:tcW w:w="300" w:type="pct"/>
                  <w:vAlign w:val="top"/>
                </w:tcPr>
                <w:p>
                  <w:r>
                    <w:t xml:space="preserve">3</w:t>
                  </w:r>
                </w:p>
              </w:tc>
              <w:tc>
                <w:tcPr>
                  <w:tcW w:w="300" w:type="pct"/>
                  <w:vAlign w:val="top"/>
                </w:tcPr>
                <w:p>
                  <w:r>
                    <w:t xml:space="preserve">4</w:t>
                  </w:r>
                </w:p>
              </w:tc>
              <w:tc>
                <w:tcPr>
                  <w:tcW w:w="300" w:type="pct"/>
                  <w:vAlign w:val="top"/>
                </w:tcPr>
                <w:p>
                  <w:r>
                    <w:t xml:space="preserve">5</w:t>
                  </w:r>
                </w:p>
              </w:tc>
              <w:tc>
                <w:tcPr>
                  <w:tcW w:w="300" w:type="pct"/>
                  <w:vAlign w:val="top"/>
                </w:tcPr>
                <w:p>
                  <w:r>
                    <w:t xml:space="preserve">6</w:t>
                  </w:r>
                </w:p>
              </w:tc>
              <w:tc>
                <w:tcPr>
                  <w:tcW w:w="300" w:type="pct"/>
                  <w:vAlign w:val="top"/>
                </w:tcPr>
                <w:p>
                  <w:r>
                    <w:t xml:space="preserve">8</w:t>
                  </w:r>
                </w:p>
              </w:tc>
              <w:tc>
                <w:tcPr>
                  <w:tcW w:w="350" w:type="pct"/>
                  <w:vAlign w:val="top"/>
                </w:tcPr>
                <w:p>
                  <w:r>
                    <w:t xml:space="preserve">15</w:t>
                  </w:r>
                </w:p>
              </w:tc>
              <w:tc>
                <w:tcPr>
                  <w:tcW w:w="1350" w:type="pct"/>
                  <w:vAlign w:val="top"/>
                </w:tcPr>
                <w:p>
                  <w:r>
                    <w:t xml:space="preserve">15*Reservoir mask</w:t>
                  </w:r>
                </w:p>
              </w:tc>
            </w:tr>
            <w:tr>
              <w:trPr/>
              <w:tc>
                <w:tcPr>
                  <w:tcW w:w="950" w:type="pct"/>
                  <w:vAlign w:val="top"/>
                </w:tcPr>
                <w:p>
                  <w:r>
                    <w:t xml:space="preserve">FiO</w:t>
                  </w:r>
                  <w:r>
                    <w:rPr>
                      <w:vertAlign w:val="subscript"/>
                    </w:rPr>
                    <w:t xml:space="preserve">2</w:t>
                  </w:r>
                </w:p>
              </w:tc>
              <w:tc>
                <w:tcPr>
                  <w:tcW w:w="300" w:type="pct"/>
                  <w:vAlign w:val="top"/>
                </w:tcPr>
                <w:p>
                  <w:r>
                    <w:t xml:space="preserve">0.23</w:t>
                  </w:r>
                </w:p>
              </w:tc>
              <w:tc>
                <w:tcPr>
                  <w:tcW w:w="300" w:type="pct"/>
                  <w:vAlign w:val="top"/>
                </w:tcPr>
                <w:p>
                  <w:r>
                    <w:t xml:space="preserve">0.25</w:t>
                  </w:r>
                </w:p>
              </w:tc>
              <w:tc>
                <w:tcPr>
                  <w:tcW w:w="300" w:type="pct"/>
                  <w:vAlign w:val="top"/>
                </w:tcPr>
                <w:p>
                  <w:r>
                    <w:t xml:space="preserve">0.27</w:t>
                  </w:r>
                </w:p>
              </w:tc>
              <w:tc>
                <w:tcPr>
                  <w:tcW w:w="300" w:type="pct"/>
                  <w:vAlign w:val="top"/>
                </w:tcPr>
                <w:p>
                  <w:r>
                    <w:t xml:space="preserve">0.30</w:t>
                  </w:r>
                </w:p>
              </w:tc>
              <w:tc>
                <w:tcPr>
                  <w:tcW w:w="300" w:type="pct"/>
                  <w:vAlign w:val="top"/>
                </w:tcPr>
                <w:p>
                  <w:r>
                    <w:t xml:space="preserve">0.35</w:t>
                  </w:r>
                </w:p>
              </w:tc>
              <w:tc>
                <w:tcPr>
                  <w:tcW w:w="300" w:type="pct"/>
                  <w:vAlign w:val="top"/>
                </w:tcPr>
                <w:p>
                  <w:r>
                    <w:t xml:space="preserve">0.40</w:t>
                  </w:r>
                </w:p>
              </w:tc>
              <w:tc>
                <w:tcPr>
                  <w:tcW w:w="300" w:type="pct"/>
                  <w:vAlign w:val="top"/>
                </w:tcPr>
                <w:p>
                  <w:r>
                    <w:t xml:space="preserve">0.45</w:t>
                  </w:r>
                </w:p>
              </w:tc>
              <w:tc>
                <w:tcPr>
                  <w:tcW w:w="350" w:type="pct"/>
                  <w:vAlign w:val="top"/>
                </w:tcPr>
                <w:p>
                  <w:r>
                    <w:t xml:space="preserve">0.50</w:t>
                  </w:r>
                </w:p>
              </w:tc>
              <w:tc>
                <w:tcPr>
                  <w:tcW w:w="1350" w:type="pct"/>
                  <w:vAlign w:val="top"/>
                </w:tcPr>
                <w:p>
                  <w:r>
                    <w:t xml:space="preserve">0.70</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b02328b8bfa8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8bb64cd3d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328b8bfa84a1c" /><Relationship Type="http://schemas.openxmlformats.org/officeDocument/2006/relationships/header" Target="/word/header1.xml" Id="R97ee3c55915d473b" /><Relationship Type="http://schemas.openxmlformats.org/officeDocument/2006/relationships/settings" Target="/word/settings.xml" Id="R5b513d2c00ab4761" /><Relationship Type="http://schemas.openxmlformats.org/officeDocument/2006/relationships/styles" Target="/word/styles.xml" Id="R3b560b7c1c2049cd" /><Relationship Type="http://schemas.openxmlformats.org/officeDocument/2006/relationships/hyperlink" Target="https://meteor-uat.aihw.gov.au/RegistrationAuthority/14" TargetMode="External" Id="R12e38639a6114370" /><Relationship Type="http://schemas.openxmlformats.org/officeDocument/2006/relationships/hyperlink" Target="https://meteor-uat.aihw.gov.au/content/320426" TargetMode="External" Id="Rd74359ef1fc24e97" /><Relationship Type="http://schemas.openxmlformats.org/officeDocument/2006/relationships/hyperlink" Target="https://meteor-uat.aihw.gov.au/content/320428" TargetMode="External" Id="R469b76451633429e" /><Relationship Type="http://schemas.openxmlformats.org/officeDocument/2006/relationships/hyperlink" Target="https://meteor-uat.aihw.gov.au/content/316130" TargetMode="External" Id="Rebeeaff3376f4c05" /><Relationship Type="http://schemas.openxmlformats.org/officeDocument/2006/relationships/hyperlink" Target="https://meteor-uat.aihw.gov.au/RegistrationAuthority/14" TargetMode="External" Id="R561f5f1584164d6a" /></Relationships>
</file>

<file path=word/_rels/header1.xml.rels>&#65279;<?xml version="1.0" encoding="utf-8"?><Relationships xmlns="http://schemas.openxmlformats.org/package/2006/relationships"><Relationship Type="http://schemas.openxmlformats.org/officeDocument/2006/relationships/image" Target="/media/image.png" Id="Rb488bb64cd3d432b" /></Relationships>
</file>