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d9f114e8042fb" /></Relationships>
</file>

<file path=word/document.xml><?xml version="1.0" encoding="utf-8"?>
<w:document xmlns:r="http://schemas.openxmlformats.org/officeDocument/2006/relationships" xmlns:w="http://schemas.openxmlformats.org/wordprocessingml/2006/main">
  <w:body>
    <w:p>
      <w:pPr>
        <w:pStyle w:val="Title"/>
      </w:pPr>
      <w:r>
        <w:t>Person—albumin serum level, grams per litre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 serum level, grams per litre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Albumin serum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ad898cf064107">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concentration of albumin in a person's blood serum, measured in 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1c540d3b724cd7">
              <w:r>
                <w:rPr>
                  <w:rStyle w:val="Hyperlink"/>
                </w:rPr>
                <w:t xml:space="preserve">Person—albumin serum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8bff4d233d4e54">
              <w:r>
                <w:rPr>
                  <w:rStyle w:val="Hyperlink"/>
                </w:rPr>
                <w:t xml:space="preserve">Grams per litre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 to Data Collection ANZICS Adult Patient Database (for AORTIC) Version 3. October 2005, ADMC</w:t>
            </w:r>
          </w:p>
          <w:p>
            <w:pPr/>
            <w:r>
              <w:rPr>
                <w:rStyle w:val="row-content-rich-text"/>
              </w:rPr>
              <w:t xml:space="preserve">Knaus WA, Draper EA, Bergner M, Murphy DJ, Harrell FE. The APACHE III Prognostic System: Risk Prediction of Hospital Mortality for Critically III Hospitalized Adults. Chest 1991;100:1619-1636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0d5048a7c44a6e">
              <w:r>
                <w:rPr>
                  <w:rStyle w:val="Hyperlink"/>
                </w:rPr>
                <w:t xml:space="preserve">Intensive care DSS</w:t>
              </w:r>
            </w:hyperlink>
          </w:p>
          <w:p>
            <w:pPr>
              <w:pStyle w:val="registration-status"/>
              <w:spacing w:before="0" w:after="0"/>
            </w:pPr>
            <w:hyperlink w:history="true" r:id="Re350688171f34638">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The specimen must be serum.</w:t>
            </w:r>
          </w:p>
          <w:p>
            <w:r>
              <w:rPr>
                <w:rStyle w:val="row-content"/>
              </w:rPr>
              <w:t xml:space="preserve">Used in the calculation of APACHE III scores.</w:t>
            </w:r>
          </w:p>
          <w:p>
            <w:r>
              <w:rPr>
                <w:rStyle w:val="row-content"/>
              </w:rPr>
              <w:t xml:space="preserve">Albumin levels from a series of blood tests in the first 24 hours of intensive care should be collected. The specimen must be serum.</w:t>
            </w:r>
          </w:p>
          <w:p>
            <w:r>
              <w:rPr>
                <w:rStyle w:val="row-content"/>
              </w:rPr>
              <w:t xml:space="preserve">APACHE III</w:t>
            </w:r>
          </w:p>
          <w:p>
            <w:r>
              <w:rPr>
                <w:rStyle w:val="row-content"/>
              </w:rPr>
              <w:t xml:space="preserve">For calculation of the APACHE III score, the highest and lowest albumin values in the first 24 hours are collected and then scored using the following APACHE III weight scoring system. For the calculation of the APACHE III score, the highest score is used.</w:t>
            </w:r>
          </w:p>
          <w:p>
            <w:r>
              <w:rPr>
                <w:rStyle w:val="row-content"/>
              </w:rPr>
              <w:t xml:space="preserve"> </w:t>
            </w:r>
          </w:p>
          <w:tbl>
            <w:tblPr>
              <w:tblStyle w:val="TableGrid"/>
              <w:tblW w:w="5000" w:type="pct"/>
              <w:tblLayout w:type="autofit"/>
            </w:tblPr>
            <w:tblGrid>
              <w:gridCol/>
              <w:gridCol/>
              <w:gridCol/>
              <w:gridCol/>
              <w:gridCol/>
            </w:tblGrid>
            <w:tr>
              <w:trPr/>
              <w:tc>
                <w:tcPr>
                  <w:tcW w:w="1400" w:type="pct"/>
                  <w:vAlign w:val="top"/>
                </w:tcPr>
                <w:p>
                  <w:r>
                    <w:rPr>
                      <w:rStyle w:val="row-content"/>
                    </w:rPr>
                    <w:t xml:space="preserve"> </w:t>
                  </w:r>
                  <w:r>
                    <w:rPr>
                      <w:rStyle w:val="row-content"/>
                    </w:rPr>
                    <w:t xml:space="preserve">APACHE III</w:t>
                  </w:r>
                </w:p>
              </w:tc>
              <w:tc>
                <w:tcPr>
                  <w:tcW w:w="1150" w:type="pct"/>
                  <w:vAlign w:val="top"/>
                </w:tcPr>
                <w:p>
                  <w:r>
                    <w:t xml:space="preserve">High abnormal range</w:t>
                  </w:r>
                </w:p>
              </w:tc>
              <w:tc>
                <w:tcPr>
                  <w:tcW w:w="850" w:type="pct"/>
                  <w:vAlign w:val="top"/>
                </w:tcPr>
                <w:p>
                  <w:r>
                    <w:t xml:space="preserve">Normal range</w:t>
                  </w:r>
                </w:p>
              </w:tc>
              <w:tc>
                <w:tcPr>
                  <w:tcW w:w="1200" w:type="pct"/>
                  <w:gridSpan w:val="2"/>
                  <w:vAlign w:val="top"/>
                </w:tcPr>
                <w:p>
                  <w:r>
                    <w:t xml:space="preserve">Low abnormal range</w:t>
                  </w:r>
                </w:p>
              </w:tc>
            </w:tr>
            <w:tr>
              <w:trPr/>
              <w:tc>
                <w:tcPr>
                  <w:tcW w:w="1400" w:type="pct"/>
                  <w:vAlign w:val="top"/>
                </w:tcPr>
                <w:p>
                  <w:r>
                    <w:t xml:space="preserve">Score</w:t>
                  </w:r>
                </w:p>
              </w:tc>
              <w:tc>
                <w:tcPr>
                  <w:tcW w:w="1150" w:type="pct"/>
                  <w:vAlign w:val="top"/>
                </w:tcPr>
                <w:p>
                  <w:r>
                    <w:t xml:space="preserve">+4</w:t>
                  </w:r>
                </w:p>
              </w:tc>
              <w:tc>
                <w:tcPr>
                  <w:tcW w:w="850" w:type="pct"/>
                  <w:vAlign w:val="top"/>
                </w:tcPr>
                <w:p>
                  <w:r>
                    <w:t xml:space="preserve">0</w:t>
                  </w:r>
                </w:p>
              </w:tc>
              <w:tc>
                <w:tcPr>
                  <w:tcW w:w="1200" w:type="pct"/>
                  <w:vAlign w:val="top"/>
                </w:tcPr>
                <w:p>
                  <w:r>
                    <w:t xml:space="preserve">+6</w:t>
                  </w:r>
                </w:p>
              </w:tc>
              <w:tc>
                <w:tcPr>
                  <w:tcW w:w="250" w:type="pct"/>
                  <w:vAlign w:val="top"/>
                </w:tcPr>
                <w:p>
                  <w:r>
                    <w:t xml:space="preserve">+11</w:t>
                  </w:r>
                </w:p>
              </w:tc>
            </w:tr>
            <w:tr>
              <w:trPr/>
              <w:tc>
                <w:tcPr>
                  <w:tcW w:w="1400" w:type="pct"/>
                  <w:vAlign w:val="top"/>
                </w:tcPr>
                <w:p>
                  <w:r>
                    <w:t xml:space="preserve">Albumin level</w:t>
                  </w:r>
                </w:p>
              </w:tc>
              <w:tc>
                <w:tcPr>
                  <w:tcW w:w="1150" w:type="pct"/>
                  <w:vAlign w:val="top"/>
                </w:tcPr>
                <w:p>
                  <w:r>
                    <w:t xml:space="preserve">&gt;45</w:t>
                  </w:r>
                </w:p>
              </w:tc>
              <w:tc>
                <w:tcPr>
                  <w:tcW w:w="850" w:type="pct"/>
                  <w:vAlign w:val="top"/>
                </w:tcPr>
                <w:p>
                  <w:r>
                    <w:t xml:space="preserve">25-44</w:t>
                  </w:r>
                </w:p>
              </w:tc>
              <w:tc>
                <w:tcPr>
                  <w:tcW w:w="1200" w:type="pct"/>
                  <w:vAlign w:val="top"/>
                </w:tcPr>
                <w:p>
                  <w:r>
                    <w:t xml:space="preserve">20-24</w:t>
                  </w:r>
                </w:p>
              </w:tc>
              <w:tc>
                <w:tcPr>
                  <w:tcW w:w="250" w:type="pct"/>
                  <w:vAlign w:val="top"/>
                </w:tcPr>
                <w:p>
                  <w:r>
                    <w:t xml:space="preserve">&lt;19</w:t>
                  </w:r>
                </w:p>
              </w:tc>
            </w:tr>
          </w:tbl>
          <w:p>
            <w:r>
              <w:t xml:space="preserve"> </w:t>
            </w:r>
          </w:p>
          <w:p>
            <w:r>
              <w:br/>
            </w:r>
            <w:r>
              <w:br/>
            </w:r>
          </w:p>
        </w:tc>
      </w:tr>
    </w:tbl>
    <w:p/>
    <w:tbl>
      <w:tblPr>
        <w:tblStyle w:val="TableGrid"/>
        <w:tblW w:w="0" w:type="auto"/>
      </w:tblPr>
    </w:tbl>
    <w:p>
      <w:r>
        <w:br/>
      </w:r>
    </w:p>
    <w:sectPr>
      <w:footerReference xmlns:r="http://schemas.openxmlformats.org/officeDocument/2006/relationships" w:type="default" r:id="R95be1866cec9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319199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6c0f81c30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e1866cec94c60" /><Relationship Type="http://schemas.openxmlformats.org/officeDocument/2006/relationships/header" Target="/word/header1.xml" Id="R9f3fad8dd3e34db8" /><Relationship Type="http://schemas.openxmlformats.org/officeDocument/2006/relationships/settings" Target="/word/settings.xml" Id="R39836aafb9ed45b5" /><Relationship Type="http://schemas.openxmlformats.org/officeDocument/2006/relationships/styles" Target="/word/styles.xml" Id="Rf825a74109e8431c" /><Relationship Type="http://schemas.openxmlformats.org/officeDocument/2006/relationships/hyperlink" Target="https://meteor-uat.aihw.gov.au/RegistrationAuthority/14" TargetMode="External" Id="R0a6ad898cf064107" /><Relationship Type="http://schemas.openxmlformats.org/officeDocument/2006/relationships/hyperlink" Target="https://meteor-uat.aihw.gov.au/content/319194" TargetMode="External" Id="R6c1c540d3b724cd7" /><Relationship Type="http://schemas.openxmlformats.org/officeDocument/2006/relationships/hyperlink" Target="https://meteor-uat.aihw.gov.au/content/319197" TargetMode="External" Id="Rf78bff4d233d4e54" /><Relationship Type="http://schemas.openxmlformats.org/officeDocument/2006/relationships/hyperlink" Target="https://meteor-uat.aihw.gov.au/content/316130" TargetMode="External" Id="Raa0d5048a7c44a6e" /><Relationship Type="http://schemas.openxmlformats.org/officeDocument/2006/relationships/hyperlink" Target="https://meteor-uat.aihw.gov.au/RegistrationAuthority/14" TargetMode="External" Id="Re350688171f34638" /></Relationships>
</file>

<file path=word/_rels/header1.xml.rels>&#65279;<?xml version="1.0" encoding="utf-8"?><Relationships xmlns="http://schemas.openxmlformats.org/package/2006/relationships"><Relationship Type="http://schemas.openxmlformats.org/officeDocument/2006/relationships/image" Target="/media/image.png" Id="R2866c0f81c3042cd" /></Relationships>
</file>