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f04352ac7b4354" /></Relationships>
</file>

<file path=word/document.xml><?xml version="1.0" encoding="utf-8"?>
<w:document xmlns:r="http://schemas.openxmlformats.org/officeDocument/2006/relationships" xmlns:w="http://schemas.openxmlformats.org/wordprocessingml/2006/main">
  <w:body>
    <w:p>
      <w:pPr>
        <w:pStyle w:val="Title"/>
      </w:pPr>
      <w:r>
        <w:t>Commonwealth State/Territory Disability Agreement NMDS  - 1 July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State/Territory Disability Agreement NMDS  - 1 July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c318a4db54150">
              <w:r>
                <w:rPr>
                  <w:rStyle w:val="Hyperlink"/>
                  <w:color w:val="244061"/>
                </w:rPr>
                <w:t xml:space="preserve">Community Services (retired)</w:t>
              </w:r>
            </w:hyperlink>
            <w:r>
              <w:rPr>
                <w:rStyle w:val="row-content"/>
                <w:color w:val="244061"/>
              </w:rPr>
              <w:t xml:space="preserve">, Superseded 14/12/2008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State/Territory Disability Agreement National Minimum Data Set (CSTDA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CSTDA NMDS collection is to facilitate the annual collation of nationally comparable data about CSTDA-funded services, and to obtain reliable, consistent data with minimal load on the disability services field. Under the CSTDA, the Disability Administrators in all Australian jurisdictions are responsible for ensuring ‘that CSTDA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CSTDA. Therefore, if a service type outlet did not receive CSTDA funding for the 2006–07 collection (i.e. its CSTDA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CSTDA or other), they are asked to provide details of all service users and staff (for each service type).</w:t>
            </w:r>
          </w:p>
          <w:p>
            <w:pPr>
              <w:spacing w:after="160"/>
            </w:pPr>
            <w:r>
              <w:rPr>
                <w:rStyle w:val="row-content-rich-text"/>
              </w:rPr>
              <w:t xml:space="preserve">Most agencies funded under the CSTDA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CSTDA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For example, if a family member/carer receives respite services, only details about the service user (i.e., the person with the disability) are required, not those of the family or carer.</w:t>
            </w:r>
          </w:p>
          <w:p>
            <w:pPr>
              <w:pStyle w:val="Heading3"/>
            </w:pPr>
            <w:r>
              <w:rPr>
                <w:rStyle w:val="row-content-rich-text"/>
              </w:rPr>
              <w:t xml:space="preserve">Table 1:</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450" w:type="pct"/>
                  <w:vAlign w:val="top"/>
                </w:tcPr>
                <w:p>
                  <w:pPr/>
                  <w:r>
                    <w:rPr>
                      <w:rStyle w:val="row-content-rich-text"/>
                      <w:b/>
                    </w:rPr>
                    <w:t xml:space="preserve">Service type classification</w:t>
                  </w:r>
                </w:p>
              </w:tc>
              <w:tc>
                <w:tcPr>
                  <w:tcW w:w="600" w:type="pct"/>
                  <w:vAlign w:val="top"/>
                </w:tcPr>
                <w:p>
                  <w:r>
                    <w:rPr>
                      <w:b/>
                    </w:rPr>
                    <w:t xml:space="preserve">Service type outlet –details required (except for those provided by the jurisdiction)</w:t>
                  </w:r>
                </w:p>
              </w:tc>
              <w:tc>
                <w:tcPr>
                  <w:tcW w:w="750" w:type="pct"/>
                  <w:vAlign w:val="top"/>
                </w:tcPr>
                <w:p>
                  <w:r>
                    <w:rPr>
                      <w:b/>
                    </w:rPr>
                    <w:t xml:space="preserve">Service user – details required</w:t>
                  </w:r>
                </w:p>
              </w:tc>
              <w:tc>
                <w:tcPr>
                  <w:tcW w:w="2100" w:type="pct"/>
                  <w:vAlign w:val="top"/>
                </w:tcPr>
                <w:p>
                  <w:r>
                    <w:rPr>
                      <w:b/>
                    </w:rPr>
                    <w:t xml:space="preserve">Services received by each service user in the reporting period – details required</w:t>
                  </w:r>
                </w:p>
              </w:tc>
            </w:tr>
            <w:tr>
              <w:trPr/>
              <w:tc>
                <w:tcPr>
                  <w:tcW w:w="1450" w:type="pct"/>
                  <w:vAlign w:val="top"/>
                </w:tcPr>
                <w:p>
                  <w:r>
                    <w:t xml:space="preserve">CSTDA Accommodation support 1.01-1.04, 1.08</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Accommodation support 1.05-1.07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support 2.01-2.05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Community support 2.06</w:t>
                  </w:r>
                </w:p>
              </w:tc>
              <w:tc>
                <w:tcPr>
                  <w:tcW w:w="600" w:type="pct"/>
                  <w:vAlign w:val="top"/>
                </w:tcPr>
                <w:p>
                  <w:r>
                    <w:t xml:space="preserve">All</w:t>
                  </w:r>
                </w:p>
              </w:tc>
              <w:tc>
                <w:tcPr>
                  <w:tcW w:w="750" w:type="pct"/>
                  <w:vAlign w:val="top"/>
                </w:tcPr>
                <w:p>
                  <w:r>
                    <w:t xml:space="preserve">All (except for community development activity within this service type)</w:t>
                  </w:r>
                </w:p>
              </w:tc>
              <w:tc>
                <w:tcPr>
                  <w:tcW w:w="2100" w:type="pct"/>
                  <w:vAlign w:val="top"/>
                </w:tcPr>
                <w:p>
                  <w:r>
                    <w:t xml:space="preserve">All (except for community development activity within this service type)</w:t>
                  </w:r>
                </w:p>
              </w:tc>
            </w:tr>
            <w:tr>
              <w:trPr/>
              <w:tc>
                <w:tcPr>
                  <w:tcW w:w="1450" w:type="pct"/>
                  <w:vAlign w:val="top"/>
                </w:tcPr>
                <w:p>
                  <w:r>
                    <w:t xml:space="preserve">CSTDA Community support 2.07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 </w:t>
                  </w:r>
                </w:p>
              </w:tc>
            </w:tr>
            <w:tr>
              <w:trPr/>
              <w:tc>
                <w:tcPr>
                  <w:tcW w:w="1450" w:type="pct"/>
                  <w:vAlign w:val="top"/>
                </w:tcPr>
                <w:p>
                  <w:r>
                    <w:t xml:space="preserve">CSTDA Community access 3.01, 3.03 Learning and life skills development</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access 3.02 Recreation/holiday programs(a)</w:t>
                  </w:r>
                </w:p>
              </w:tc>
              <w:tc>
                <w:tcPr>
                  <w:tcW w:w="600" w:type="pct"/>
                  <w:vAlign w:val="top"/>
                </w:tcPr>
                <w:p>
                  <w:r>
                    <w:t xml:space="preserve">All</w:t>
                  </w:r>
                </w:p>
              </w:tc>
              <w:tc>
                <w:tcPr>
                  <w:tcW w:w="750" w:type="pct"/>
                  <w:vAlign w:val="top"/>
                </w:tcPr>
                <w:p>
                  <w:r>
                    <w:t xml:space="preserve">Linkage key elements only (items 2a–2e)</w:t>
                  </w:r>
                </w:p>
              </w:tc>
              <w:tc>
                <w:tcPr>
                  <w:tcW w:w="2100" w:type="pct"/>
                  <w:vAlign w:val="top"/>
                </w:tcPr>
                <w:p>
                  <w:r>
                    <w:t xml:space="preserve">The following items are optional: Service episode— episode start date; Service event —last service provision date; and Person—service received indicator</w:t>
                  </w:r>
                </w:p>
              </w:tc>
            </w:tr>
            <w:tr>
              <w:trPr/>
              <w:tc>
                <w:tcPr>
                  <w:tcW w:w="1450" w:type="pct"/>
                  <w:vAlign w:val="top"/>
                </w:tcPr>
                <w:p>
                  <w:r>
                    <w:t xml:space="preserve">CSTDA Respite 4.01-4.05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Employment 5.01-5.02</w:t>
                  </w:r>
                </w:p>
              </w:tc>
              <w:tc>
                <w:tcPr>
                  <w:tcW w:w="600" w:type="pct"/>
                  <w:vAlign w:val="top"/>
                </w:tcPr>
                <w:p>
                  <w:r>
                    <w:t xml:space="preserve">All</w:t>
                  </w:r>
                </w:p>
              </w:tc>
              <w:tc>
                <w:tcPr>
                  <w:tcW w:w="750" w:type="pct"/>
                  <w:vAlign w:val="top"/>
                </w:tcPr>
                <w:p>
                  <w:r>
                    <w:t xml:space="preserve">All (except for carer—primary status, residency status, age group – items 12b,c,e)</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Advocacy, information and alternative forms of communication 6.01-6.05</w:t>
                  </w:r>
                </w:p>
              </w:tc>
              <w:tc>
                <w:tcPr>
                  <w:tcW w:w="600" w:type="pct"/>
                  <w:vAlign w:val="top"/>
                </w:tcPr>
                <w:p>
                  <w:r>
                    <w:t xml:space="preserve">All</w:t>
                  </w:r>
                </w:p>
              </w:tc>
              <w:tc>
                <w:tcPr>
                  <w:tcW w:w="750" w:type="pct"/>
                  <w:vAlign w:val="top"/>
                </w:tcPr>
                <w:p>
                  <w:r>
                    <w:t xml:space="preserve">None</w:t>
                  </w:r>
                </w:p>
              </w:tc>
              <w:tc>
                <w:tcPr>
                  <w:tcW w:w="2100" w:type="pct"/>
                  <w:vAlign w:val="top"/>
                </w:tcPr>
                <w:p>
                  <w:r>
                    <w:t xml:space="preserve">None</w:t>
                  </w:r>
                </w:p>
              </w:tc>
            </w:tr>
            <w:tr>
              <w:trPr/>
              <w:tc>
                <w:tcPr>
                  <w:tcW w:w="1450" w:type="pct"/>
                  <w:vAlign w:val="top"/>
                </w:tcPr>
                <w:p>
                  <w:r>
                    <w:t xml:space="preserve">CSTDA Other support 7.01-7.04</w:t>
                  </w:r>
                </w:p>
              </w:tc>
              <w:tc>
                <w:tcPr>
                  <w:tcW w:w="600" w:type="pct"/>
                  <w:vAlign w:val="top"/>
                </w:tcPr>
                <w:p>
                  <w:r>
                    <w:t xml:space="preserve">All (except Service provider organisation—number of clients, total people N[NNNN])</w:t>
                  </w:r>
                </w:p>
              </w:tc>
              <w:tc>
                <w:tcPr>
                  <w:tcW w:w="750" w:type="pct"/>
                  <w:vAlign w:val="top"/>
                </w:tcPr>
                <w:p>
                  <w:r>
                    <w:t xml:space="preserve">None</w:t>
                  </w:r>
                </w:p>
              </w:tc>
              <w:tc>
                <w:tcPr>
                  <w:tcW w:w="2100" w:type="pct"/>
                  <w:vAlign w:val="top"/>
                </w:tcPr>
                <w:p>
                  <w:r>
                    <w:t xml:space="preserve">None</w:t>
                  </w:r>
                </w:p>
              </w:tc>
            </w:tr>
          </w:tbl>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CSTDA to provide residential accommodation and respite services from one location or funded to provide group homes in three separate locations. A separate service type outlet form is completed for each service type the agency is funded to provide under the CSTDA.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CSTDA-funded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Snapshot day:</w:t>
            </w:r>
          </w:p>
          <w:p>
            <w:r>
              <w:t xml:space="preserve">Collection of annual snapshot day data is essential to ensure continuity of data interpretation. The snapshot day for each year is generally the last Wednesday in June.</w:t>
            </w:r>
          </w:p>
          <w:p>
            <w:r>
              <w:rPr>
                <w:b/>
              </w:rPr>
              <w:t xml:space="preserve">Privacy:</w:t>
            </w:r>
          </w:p>
          <w:p>
            <w:r>
              <w:t xml:space="preserve">CSTDA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6089920da045be">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77f6d4f39c43da">
              <w:r>
                <w:rPr>
                  <w:rStyle w:val="Hyperlink"/>
                </w:rPr>
                <w:t xml:space="preserve">Commonwealth State/Territory Disability Agreement NMDS (July 2008)</w:t>
              </w:r>
            </w:hyperlink>
          </w:p>
          <w:p>
            <w:pPr>
              <w:pStyle w:val="registration-status"/>
              <w:spacing w:before="0" w:after="0"/>
            </w:pPr>
            <w:hyperlink w:history="true" r:id="R53ac843cda904cb1">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61a67073d4c9f">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CSTDA NMDS.</w:t>
                  </w:r>
                </w:p>
                <w:p>
                  <w:r>
                    <w:t xml:space="preserve">1. The number of hours of support received by a service user for a service type for the week preceding the end of the reporting period (the 7-day </w:t>
                  </w:r>
                  <w:r>
                    <w:rPr>
                      <w:b/>
                      <w:i/>
                    </w:rPr>
                    <w:t xml:space="preserve">reference</w:t>
                  </w:r>
                  <w:r>
                    <w:t xml:space="preserve"> week);and</w:t>
                  </w:r>
                </w:p>
                <w:p>
                  <w:r>
                    <w:t xml:space="preserve">2. The number of hours of support received by a service user for a service type for a </w:t>
                  </w:r>
                  <w:r>
                    <w:rPr>
                      <w:b/>
                      <w:i/>
                    </w:rPr>
                    <w:t xml:space="preserve">typical</w:t>
                  </w:r>
                  <w:r>
                    <w:t xml:space="preserve"> 7-day week.</w:t>
                  </w:r>
                </w:p>
                <w:p>
                  <w:r>
                    <w:t xml:space="preserve">The total hours reported should be rounded up to the nearest whole hour.</w:t>
                  </w:r>
                </w:p>
                <w:p>
                  <w:r>
                    <w:t xml:space="preserve">Where less than one hour was received, agencies may record </w:t>
                  </w:r>
                  <w:r>
                    <w:rPr>
                      <w:i/>
                    </w:rPr>
                    <w:t xml:space="preserve">‘900’.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pPr>
                    <w:pStyle w:val="ListParagraph"/>
                    <w:numPr>
                      <w:ilvl w:val="0"/>
                      <w:numId w:val="4"/>
                    </w:numPr>
                  </w:pPr>
                  <w:r>
                    <w:t xml:space="preserve">As an average of the actual hours received by this service user in a typical week (over the reporting period). That is, this item is derived from the 'total hours received during the reporting period'.</w:t>
                  </w:r>
                  <w:r>
                    <w:br/>
                  </w:r>
                  <w:r>
                    <w:t xml:space="preserve">OR</w:t>
                  </w:r>
                </w:p>
                <w:p>
                  <w:pPr>
                    <w:pStyle w:val="ListParagraph"/>
                    <w:numPr>
                      <w:ilvl w:val="0"/>
                      <w:numId w:val="4"/>
                    </w:numPr>
                  </w:pPr>
                  <w:r>
                    <w:t xml:space="preserve">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w:t>
                  </w:r>
                  <w:r>
                    <w:rPr>
                      <w:i/>
                    </w:rPr>
                    <w:t xml:space="preserve">Hours of assistance</w:t>
                  </w:r>
                  <w:r>
                    <w:t xml:space="preserv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e99253ec44897">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f6517d81714a1b">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b2d8c520d4be6">
                    <w:r>
                      <w:rPr>
                        <w:rStyle w:val="Hyperlink"/>
                      </w:rPr>
                      <w:t xml:space="preserve">Informal carer—primary status, code N</w:t>
                    </w:r>
                  </w:hyperlink>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36f7ae8c040c7">
                    <w:r>
                      <w:rPr>
                        <w:rStyle w:val="Hyperlink"/>
                      </w:rPr>
                      <w:t xml:space="preserve">Informal carer—relationship to care recipient, CSTDA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CSTDA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37e3bcc564ea3">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CSTDA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15c90298540af">
                    <w:r>
                      <w:rPr>
                        <w:rStyle w:val="Hyperlink"/>
                      </w:rPr>
                      <w:t xml:space="preserve">Person (address)—Australian postcode, code (Postcode datafile) {NNNN}</w:t>
                    </w:r>
                  </w:hyperlink>
                </w:p>
                <w:p>
                  <w:r>
                    <w:rPr>
                      <w:b/>
                      <w:i/>
                      <w:color w:val="333333"/>
                    </w:rPr>
                    <w:t xml:space="preserve">DSS specific information:</w:t>
                  </w:r>
                </w:p>
                <w:p>
                  <w:r>
                    <w:t xml:space="preserve">In the CSTDA NMDS, this data element refers to the postcode of a service user's usual residence ('usual' means 4 or more days per week on average).</w:t>
                  </w:r>
                </w:p>
                <w:p>
                  <w:r>
                    <w:t xml:space="preserve">This data element is used in CSTDA to capture the postcode of the 'geographic location' of a person, not their postal address postcode. The CSTDA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f03f8fd0654664">
                    <w:r>
                      <w:rPr>
                        <w:rStyle w:val="Hyperlink"/>
                      </w:rPr>
                      <w:t xml:space="preserve">Person (with a disability)—disability group,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8142b8724400a">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CSTDA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f9b31a01c46d6">
                    <w:r>
                      <w:rPr>
                        <w:rStyle w:val="Hyperlink"/>
                      </w:rPr>
                      <w:t xml:space="preserve">Person—age group,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7f593a33be4ebb">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d89ad1b6049cc">
                    <w:r>
                      <w:rPr>
                        <w:rStyle w:val="Hyperlink"/>
                      </w:rPr>
                      <w:t xml:space="preserve">Person—country of birth, code (SACC 1998)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5be9fd4c14b1c">
                    <w:r>
                      <w:rPr>
                        <w:rStyle w:val="Hyperlink"/>
                      </w:rPr>
                      <w:t xml:space="preserve">Person—date of birth, DDMMYYYY</w:t>
                    </w:r>
                  </w:hyperlink>
                </w:p>
                <w:p>
                  <w:r>
                    <w:rPr>
                      <w:b/>
                      <w:i/>
                      <w:color w:val="333333"/>
                    </w:rPr>
                    <w:t xml:space="preserve">DSS specific information:</w:t>
                  </w:r>
                </w:p>
                <w:p>
                  <w:r>
                    <w:t xml:space="preserve">In the CSTDA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9074d8daef40ea">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f0a30fb8d411a">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pPr>
                    <w:pStyle w:val="ListParagraph"/>
                    <w:numPr>
                      <w:ilvl w:val="0"/>
                      <w:numId w:val="6"/>
                    </w:numPr>
                  </w:pPr>
                  <w:r>
                    <w:t xml:space="preserve">in Western Australia - Intensive Family Support funding;</w:t>
                  </w:r>
                </w:p>
                <w:p>
                  <w:pPr>
                    <w:pStyle w:val="ListParagraph"/>
                    <w:numPr>
                      <w:ilvl w:val="0"/>
                      <w:numId w:val="6"/>
                    </w:numPr>
                  </w:pPr>
                  <w:r>
                    <w:t xml:space="preserve">in Queensland - Adult Lifestyle Support Packages, family support programs and post-school programs;</w:t>
                  </w:r>
                </w:p>
                <w:p>
                  <w:pPr>
                    <w:pStyle w:val="ListParagraph"/>
                    <w:numPr>
                      <w:ilvl w:val="0"/>
                      <w:numId w:val="6"/>
                    </w:numPr>
                  </w:pPr>
                  <w:r>
                    <w:t xml:space="preserve">in Australian Government-funded programs - Case Based Funding (CBF) and Futures for Young Adults (FFYA);</w:t>
                  </w:r>
                </w:p>
                <w:p>
                  <w:pPr>
                    <w:pStyle w:val="ListParagraph"/>
                    <w:numPr>
                      <w:ilvl w:val="0"/>
                      <w:numId w:val="6"/>
                    </w:numPr>
                  </w:pPr>
                  <w:r>
                    <w:t xml:space="preserve">in the ACT - Individual Support Packages;</w:t>
                  </w:r>
                </w:p>
                <w:p>
                  <w:pPr>
                    <w:pStyle w:val="ListParagraph"/>
                    <w:numPr>
                      <w:ilvl w:val="0"/>
                      <w:numId w:val="6"/>
                    </w:numPr>
                  </w:pPr>
                  <w:r>
                    <w:t xml:space="preserve">in Victoria - Futures for Young Adults (FFYA), Flexible care packages (Making a Difference (MaD), HomeFirst, Family Choice Program and Continuity of Care State-wide Fund);</w:t>
                  </w:r>
                </w:p>
                <w:p>
                  <w:pPr>
                    <w:pStyle w:val="ListParagraph"/>
                    <w:numPr>
                      <w:ilvl w:val="0"/>
                      <w:numId w:val="6"/>
                    </w:numPr>
                  </w:pPr>
                  <w:r>
                    <w:t xml:space="preserve">in Tasmania—Individual Support Program (ISP), and Supporting Individual Pathways; and</w:t>
                  </w:r>
                </w:p>
                <w:p>
                  <w:pPr>
                    <w:pStyle w:val="ListParagraph"/>
                    <w:numPr>
                      <w:ilvl w:val="0"/>
                      <w:numId w:val="6"/>
                    </w:numPr>
                  </w:pPr>
                  <w:r>
                    <w:t xml:space="preserve">in the Northern Territory - Client Focussed Funding (CFF). </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b59d77e2b4d2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4ee8dfa8f4456">
                    <w:r>
                      <w:rPr>
                        <w:rStyle w:val="Hyperlink"/>
                      </w:rPr>
                      <w:t xml:space="preserve">Person—informal carer existence indicator, code N</w:t>
                    </w:r>
                  </w:hyperlink>
                </w:p>
                <w:p>
                  <w:r>
                    <w:rPr>
                      <w:b/>
                      <w:i/>
                      <w:color w:val="333333"/>
                    </w:rPr>
                    <w:t xml:space="preserve">DSS specific information:</w:t>
                  </w:r>
                </w:p>
                <w:p>
                  <w:r>
                    <w:t xml:space="preserve"> </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d0d4dcb1641e1">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1cd2b149e49aa">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fcff3e2f74b8e">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e778c302fd457f">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3439846784ef9">
                    <w:r>
                      <w:rPr>
                        <w:rStyle w:val="Hyperlink"/>
                      </w:rPr>
                      <w:t xml:space="preserve">Person—living arrangement, code N</w:t>
                    </w:r>
                  </w:hyperlink>
                </w:p>
                <w:p>
                  <w:r>
                    <w:rPr>
                      <w:b/>
                      <w:i/>
                      <w:color w:val="333333"/>
                    </w:rPr>
                    <w:t xml:space="preserve">DSS specific information:</w:t>
                  </w:r>
                </w:p>
                <w:p>
                  <w:r>
                    <w:t xml:space="preserve"> </w:t>
                  </w:r>
                </w:p>
                <w:p>
                  <w:r>
                    <w:t xml:space="preserve">The CSTDA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2a121566d4a5c">
                    <w:r>
                      <w:rPr>
                        <w:rStyle w:val="Hyperlink"/>
                      </w:rPr>
                      <w:t xml:space="preserve">Person—need for assistance with activities in a life area,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d19279b22d4bb1">
                    <w:r>
                      <w:rPr>
                        <w:rStyle w:val="Hyperlink"/>
                      </w:rPr>
                      <w:t xml:space="preserve">Person—residential setting,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1b49981db14f8e">
                    <w:r>
                      <w:rPr>
                        <w:rStyle w:val="Hyperlink"/>
                      </w:rPr>
                      <w:t xml:space="preserve">Person—service received indicator, code N</w:t>
                    </w:r>
                  </w:hyperlink>
                </w:p>
                <w:p>
                  <w:r>
                    <w:rPr>
                      <w:b/>
                      <w:i/>
                      <w:color w:val="333333"/>
                    </w:rPr>
                    <w:t xml:space="preserve">DSS specific information:</w:t>
                  </w:r>
                </w:p>
                <w:p>
                  <w:r>
                    <w:t xml:space="preserve"> </w:t>
                  </w:r>
                </w:p>
                <w:p>
                  <w:r>
                    <w:t xml:space="preserve">In the CSTDA NMDS, this data element refers to whether or not the person received the CSTDA-funded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9ca09be88a4edb">
                    <w:r>
                      <w:rPr>
                        <w:rStyle w:val="Hyperlink"/>
                      </w:rPr>
                      <w:t xml:space="preserve">Person—sex, code N</w:t>
                    </w:r>
                  </w:hyperlink>
                </w:p>
                <w:p>
                  <w:r>
                    <w:rPr>
                      <w:b/>
                      <w:i/>
                      <w:color w:val="333333"/>
                    </w:rPr>
                    <w:t xml:space="preserve">DSS specific information:</w:t>
                  </w:r>
                </w:p>
                <w:p>
                  <w:r>
                    <w:t xml:space="preserve">Code 3 Intersex or indeterminate is not used in the CSTDA NMDS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4ee8d27eee4634">
                    <w:r>
                      <w:rPr>
                        <w:rStyle w:val="Hyperlink"/>
                      </w:rPr>
                      <w:t xml:space="preserve">Person—source of cash income (principal),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753160fa73473a">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307f5f93e45be">
                    <w:r>
                      <w:rPr>
                        <w:rStyle w:val="Hyperlink"/>
                      </w:rPr>
                      <w:t xml:space="preserve">Record—identifier (CSTDA), N[N(7)]</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72973a822b491c">
                    <w:r>
                      <w:rPr>
                        <w:rStyle w:val="Hyperlink"/>
                      </w:rPr>
                      <w:t xml:space="preserve">Service episode—episode end date, DDMMYYYY</w:t>
                    </w:r>
                  </w:hyperlink>
                </w:p>
                <w:p>
                  <w:r>
                    <w:rPr>
                      <w:b/>
                      <w:i/>
                      <w:color w:val="333333"/>
                    </w:rPr>
                    <w:t xml:space="preserve">DSS specific information:</w:t>
                  </w:r>
                </w:p>
                <w:p>
                  <w:r>
                    <w:t xml:space="preserve">This data element should only be reported for CSTDA service users who have ceased receiving CSTDA-funded services from the service type outlet.</w:t>
                  </w:r>
                </w:p>
                <w:p>
                  <w:r>
                    <w:t xml:space="preserve">A service user is considered to leave a service when either:</w:t>
                  </w:r>
                </w:p>
                <w:p>
                  <w:pPr>
                    <w:pStyle w:val="ListParagraph"/>
                    <w:numPr>
                      <w:ilvl w:val="0"/>
                      <w:numId w:val="7"/>
                    </w:numPr>
                  </w:pPr>
                  <w:r>
                    <w:t xml:space="preserve">the service user ends the support relationship with the service outlet; or</w:t>
                  </w:r>
                </w:p>
                <w:p>
                  <w:pPr>
                    <w:pStyle w:val="ListParagraph"/>
                    <w:numPr>
                      <w:ilvl w:val="0"/>
                      <w:numId w:val="7"/>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0f1474b0b413d">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CSTDA. Services within the scope of the collection are those for which funding has been provided, during the specified period, by a government organisation operating under the CSTDA.</w:t>
                  </w:r>
                </w:p>
                <w:p>
                  <w:r>
                    <w:t xml:space="preserve">A service user is considered to have started receiving a CSTDA-funded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CSTDA-funded,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8"/>
                    </w:numPr>
                  </w:pPr>
                  <w:r>
                    <w:t xml:space="preserve">their known service start date, for example, a service user starting on 2 September 2002 may be recorded as 02092002;</w:t>
                  </w:r>
                </w:p>
                <w:p>
                  <w:pPr>
                    <w:pStyle w:val="ListParagraph"/>
                    <w:numPr>
                      <w:ilvl w:val="0"/>
                      <w:numId w:val="8"/>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CSTDA program and of the intensity of service provision. In conjunction with the data element exit date, it can also be used to identify the number of CSTDA-funded service users as at the end of the CSTDA NMDS reporting period, and at any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8f136049f400b">
                    <w:r>
                      <w:rPr>
                        <w:rStyle w:val="Hyperlink"/>
                      </w:rPr>
                      <w:t xml:space="preserve">Service episode—service cessation reason,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978c62187244eb">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cc1d0e4304798">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CSTDA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f205b750794be3">
                    <w:r>
                      <w:rPr>
                        <w:rStyle w:val="Hyperlink"/>
                      </w:rPr>
                      <w:t xml:space="preserve">Service provider organisation—Australian state/territory identifier, code N</w:t>
                    </w:r>
                  </w:hyperlink>
                </w:p>
                <w:p>
                  <w:r>
                    <w:rPr>
                      <w:b/>
                      <w:i/>
                      <w:color w:val="333333"/>
                    </w:rPr>
                    <w:t xml:space="preserve">DSS specific information:</w:t>
                  </w:r>
                </w:p>
                <w:p>
                  <w:r>
                    <w:t xml:space="preserve">The CSTDA NMDS uses the AIHW order based on the population of the State or Territory.</w:t>
                  </w:r>
                </w:p>
                <w:p>
                  <w:pPr>
                    <w:pStyle w:val="ListParagraph"/>
                    <w:numPr>
                      <w:ilvl w:val="0"/>
                      <w:numId w:val="9"/>
                    </w:numPr>
                  </w:pPr>
                  <w:r>
                    <w:t xml:space="preserve">New South Wales</w:t>
                  </w:r>
                </w:p>
                <w:p>
                  <w:pPr>
                    <w:pStyle w:val="ListParagraph"/>
                    <w:numPr>
                      <w:ilvl w:val="0"/>
                      <w:numId w:val="9"/>
                    </w:numPr>
                  </w:pPr>
                  <w:r>
                    <w:t xml:space="preserve">Victoria</w:t>
                  </w:r>
                </w:p>
                <w:p>
                  <w:pPr>
                    <w:pStyle w:val="ListParagraph"/>
                    <w:numPr>
                      <w:ilvl w:val="0"/>
                      <w:numId w:val="9"/>
                    </w:numPr>
                  </w:pPr>
                  <w:r>
                    <w:t xml:space="preserve">Queensland</w:t>
                  </w:r>
                </w:p>
                <w:p>
                  <w:pPr>
                    <w:pStyle w:val="ListParagraph"/>
                    <w:numPr>
                      <w:ilvl w:val="0"/>
                      <w:numId w:val="9"/>
                    </w:numPr>
                  </w:pPr>
                  <w:r>
                    <w:t xml:space="preserve">Western Australia</w:t>
                  </w:r>
                </w:p>
                <w:p>
                  <w:pPr>
                    <w:pStyle w:val="ListParagraph"/>
                    <w:numPr>
                      <w:ilvl w:val="0"/>
                      <w:numId w:val="9"/>
                    </w:numPr>
                  </w:pPr>
                  <w:r>
                    <w:t xml:space="preserve">South Australia</w:t>
                  </w:r>
                </w:p>
                <w:p>
                  <w:pPr>
                    <w:pStyle w:val="ListParagraph"/>
                    <w:numPr>
                      <w:ilvl w:val="0"/>
                      <w:numId w:val="9"/>
                    </w:numPr>
                  </w:pPr>
                  <w:r>
                    <w:t xml:space="preserve">Tasmania</w:t>
                  </w:r>
                </w:p>
                <w:p>
                  <w:pPr>
                    <w:pStyle w:val="ListParagraph"/>
                    <w:numPr>
                      <w:ilvl w:val="0"/>
                      <w:numId w:val="9"/>
                    </w:numPr>
                  </w:pPr>
                  <w:r>
                    <w:t xml:space="preserve">Australian Capital Territory</w:t>
                  </w:r>
                </w:p>
                <w:p>
                  <w:pPr>
                    <w:pStyle w:val="ListParagraph"/>
                    <w:numPr>
                      <w:ilvl w:val="0"/>
                      <w:numId w:val="9"/>
                    </w:numPr>
                  </w:pPr>
                  <w:r>
                    <w:t xml:space="preserve">Northern Territory</w:t>
                  </w:r>
                </w:p>
                <w:p>
                  <w:r>
                    <w:t xml:space="preserve">Code 9 Other territories (Cocos (Keeling) Islands, Christmas Island and Jervis Bay Territory) is not applicable to CSTDA-funded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21114db744930">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aaec9fb90439e">
                    <w:r>
                      <w:rPr>
                        <w:rStyle w:val="Hyperlink"/>
                      </w:rPr>
                      <w:t xml:space="preserve">Service provider organisation—funding allocated, total Australian currency N[N(8)]</w:t>
                    </w:r>
                  </w:hyperlink>
                </w:p>
                <w:p>
                  <w:r>
                    <w:rPr>
                      <w:b/>
                      <w:i/>
                      <w:color w:val="333333"/>
                    </w:rPr>
                    <w:t xml:space="preserve">DSS specific information:</w:t>
                  </w:r>
                </w:p>
                <w:p>
                  <w:r>
                    <w:t xml:space="preserve">CSTDA funding data should relate to the most recent financial year. This data element needs to be reported for all services funded under the CSTDA, both those delivered by government and non-government providers. Where possible CSTDA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CSTDA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8e5ecc24c4a19">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CSTDA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18b79b15c4766">
                    <w:r>
                      <w:rPr>
                        <w:rStyle w:val="Hyperlink"/>
                      </w:rPr>
                      <w:t xml:space="preserve">Service provider organisation—geographic location (SLA), code (ASGC 2006)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599ed0afb46c2">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CSTDA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CSTDA-funded). Paid staff hours that are sub-contracted in this way should be included with the paid staff hours allocation for the service type outlet (and the sub-contractor outlet should not report these hours, if they are also included in the CSTDA NMDS.</w:t>
                  </w:r>
                </w:p>
                <w:p>
                  <w:r>
                    <w:t xml:space="preserve">These rules are designed to avoid double counting and duplication of effort by funded agencies.</w:t>
                  </w:r>
                </w:p>
                <w:p>
                  <w:r>
                    <w:rPr>
                      <w:b/>
                      <w:i/>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pPr>
                    <w:pStyle w:val="ListParagraph"/>
                    <w:numPr>
                      <w:ilvl w:val="0"/>
                      <w:numId w:val="10"/>
                    </w:numPr>
                  </w:pPr>
                  <w:r>
                    <w:t xml:space="preserve">Paid staff hours worked by administrative staff, managers etc. (i.e. indirect staff relating to this service type outlet).</w:t>
                  </w:r>
                </w:p>
                <w:p>
                  <w:pPr>
                    <w:pStyle w:val="ListParagraph"/>
                    <w:numPr>
                      <w:ilvl w:val="0"/>
                      <w:numId w:val="10"/>
                    </w:numPr>
                  </w:pPr>
                  <w:r>
                    <w:t xml:space="preserve">Paid staff hours worked by Board members relating to the service type.</w:t>
                  </w:r>
                </w:p>
                <w:p>
                  <w:pPr>
                    <w:pStyle w:val="ListParagraph"/>
                    <w:numPr>
                      <w:ilvl w:val="0"/>
                      <w:numId w:val="10"/>
                    </w:numPr>
                  </w:pPr>
                  <w:r>
                    <w:t xml:space="preserve">Paid staff hours worked on committees or at meetings relevant to the service type.</w:t>
                  </w:r>
                </w:p>
                <w:p>
                  <w:pPr>
                    <w:pStyle w:val="ListParagraph"/>
                    <w:numPr>
                      <w:ilvl w:val="0"/>
                      <w:numId w:val="10"/>
                    </w:numPr>
                  </w:pPr>
                  <w:r>
                    <w:t xml:space="preserve">Staff hours worked as paid overtime.</w:t>
                  </w:r>
                </w:p>
                <w:p>
                  <w:pPr>
                    <w:pStyle w:val="ListParagraph"/>
                    <w:numPr>
                      <w:ilvl w:val="0"/>
                      <w:numId w:val="10"/>
                    </w:numPr>
                  </w:pPr>
                  <w:r>
                    <w:t xml:space="preserve">Staff hours worked while staff receiving payment for sleepover duties.</w:t>
                  </w:r>
                </w:p>
                <w:p>
                  <w:pPr>
                    <w:pStyle w:val="ListParagraph"/>
                    <w:numPr>
                      <w:ilvl w:val="0"/>
                      <w:numId w:val="10"/>
                    </w:numPr>
                  </w:pPr>
                  <w:r>
                    <w:t xml:space="preserve">Paid staff hours worked by staff contracted to clean premises.</w:t>
                  </w:r>
                </w:p>
                <w:p>
                  <w:pPr>
                    <w:pStyle w:val="ListParagraph"/>
                    <w:numPr>
                      <w:ilvl w:val="0"/>
                      <w:numId w:val="10"/>
                    </w:numPr>
                  </w:pPr>
                  <w:r>
                    <w:t xml:space="preserve">Staff hours worked by staff receiving training relevant to the service type.</w:t>
                  </w:r>
                </w:p>
                <w:p>
                  <w:r>
                    <w:t xml:space="preserve">The following should be excluded from paid staff hours worked:</w:t>
                  </w:r>
                </w:p>
                <w:p>
                  <w:pPr>
                    <w:pStyle w:val="ListParagraph"/>
                    <w:numPr>
                      <w:ilvl w:val="0"/>
                      <w:numId w:val="11"/>
                    </w:numPr>
                  </w:pPr>
                  <w:r>
                    <w:t xml:space="preserve">Staff hours for workers on leave (including public holidays, paid/unpaid sick leave). This data element relates to staff hours worked, not staff hours paid for).</w:t>
                  </w:r>
                </w:p>
                <w:p>
                  <w:pPr>
                    <w:pStyle w:val="ListParagraph"/>
                    <w:numPr>
                      <w:ilvl w:val="0"/>
                      <w:numId w:val="11"/>
                    </w:numPr>
                  </w:pPr>
                  <w:r>
                    <w:t xml:space="preserve">Staff hours normally worked in positions that are currently vacant.</w:t>
                  </w:r>
                </w:p>
                <w:p>
                  <w:pPr>
                    <w:pStyle w:val="ListParagraph"/>
                    <w:numPr>
                      <w:ilvl w:val="0"/>
                      <w:numId w:val="11"/>
                    </w:numPr>
                  </w:pPr>
                  <w:r>
                    <w:t xml:space="preserve">Staff hours allocated to non-CSTDA service users</w:t>
                  </w:r>
                </w:p>
                <w:p>
                  <w:r>
                    <w:rPr>
                      <w:b/>
                    </w:rPr>
                    <w:t xml:space="preserve">Typical week: Collection method</w:t>
                  </w:r>
                </w:p>
                <w:p>
                  <w:r>
                    <w:t xml:space="preserve">As above but include:</w:t>
                  </w:r>
                </w:p>
                <w:p>
                  <w:pPr>
                    <w:pStyle w:val="ListParagraph"/>
                    <w:numPr>
                      <w:ilvl w:val="0"/>
                      <w:numId w:val="12"/>
                    </w:numPr>
                  </w:pPr>
                  <w:r>
                    <w:t xml:space="preserve">Staff hours for workers on leave (including public holidays, paid/unpaid sick leave). This data element relates to staff hours paid for).</w:t>
                  </w:r>
                </w:p>
                <w:p>
                  <w:pPr>
                    <w:pStyle w:val="ListParagraph"/>
                    <w:numPr>
                      <w:ilvl w:val="0"/>
                      <w:numId w:val="12"/>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12379bf06c4a2f">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pPr>
                    <w:pStyle w:val="ListParagraph"/>
                    <w:numPr>
                      <w:ilvl w:val="0"/>
                      <w:numId w:val="13"/>
                    </w:numPr>
                  </w:pPr>
                  <w:r>
                    <w:t xml:space="preserve">use fortnightly rosters as a starting point;</w:t>
                  </w:r>
                </w:p>
                <w:p>
                  <w:pPr>
                    <w:pStyle w:val="ListParagraph"/>
                    <w:numPr>
                      <w:ilvl w:val="0"/>
                      <w:numId w:val="13"/>
                    </w:numPr>
                  </w:pPr>
                  <w:r>
                    <w:t xml:space="preserve">apportion total volunteer/unpaid staff hours across funded service types;</w:t>
                  </w:r>
                </w:p>
                <w:p>
                  <w:pPr>
                    <w:pStyle w:val="ListParagraph"/>
                    <w:numPr>
                      <w:ilvl w:val="0"/>
                      <w:numId w:val="13"/>
                    </w:numPr>
                  </w:pPr>
                  <w:r>
                    <w:t xml:space="preserve">divide this figure by two to get weekly volunteer/unpaid staff hours for the week preceding the end of the reporting period; and</w:t>
                  </w:r>
                </w:p>
                <w:p>
                  <w:pPr>
                    <w:pStyle w:val="ListParagraph"/>
                    <w:numPr>
                      <w:ilvl w:val="0"/>
                      <w:numId w:val="13"/>
                    </w:numPr>
                  </w:pPr>
                  <w:r>
                    <w:t xml:space="preserve">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pPr>
                    <w:pStyle w:val="ListParagraph"/>
                    <w:numPr>
                      <w:ilvl w:val="0"/>
                      <w:numId w:val="14"/>
                    </w:numPr>
                  </w:pPr>
                  <w:r>
                    <w:t xml:space="preserve">volunteer/unpaid staff hours relating to the case coordination/ management/brokerage activities service type outlets undertake should be recorded (including administrative time, board member time etc. as above);</w:t>
                  </w:r>
                </w:p>
                <w:p>
                  <w:pPr>
                    <w:pStyle w:val="ListParagraph"/>
                    <w:numPr>
                      <w:ilvl w:val="0"/>
                      <w:numId w:val="14"/>
                    </w:numPr>
                  </w:pPr>
                  <w:r>
                    <w:t xml:space="preserve">volunteer/unpaid staff hours that are arranged by a service type outlet for another agency to provide as part of providing service type 2.06 should not be recorded. </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CSTDA-funded).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CSTDA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pPr>
                    <w:pStyle w:val="ListParagraph"/>
                    <w:numPr>
                      <w:ilvl w:val="0"/>
                      <w:numId w:val="15"/>
                    </w:numPr>
                  </w:pPr>
                  <w:r>
                    <w:t xml:space="preserve">Volunteer/unpaid staff hours worked by administrative staff.</w:t>
                  </w:r>
                </w:p>
                <w:p>
                  <w:pPr>
                    <w:pStyle w:val="ListParagraph"/>
                    <w:numPr>
                      <w:ilvl w:val="0"/>
                      <w:numId w:val="15"/>
                    </w:numPr>
                  </w:pPr>
                  <w:r>
                    <w:t xml:space="preserve">Volunteer/unpaid staff hours worked by Board members relating to the service type.</w:t>
                  </w:r>
                </w:p>
                <w:p>
                  <w:pPr>
                    <w:pStyle w:val="ListParagraph"/>
                    <w:numPr>
                      <w:ilvl w:val="0"/>
                      <w:numId w:val="15"/>
                    </w:numPr>
                  </w:pPr>
                  <w:r>
                    <w:t xml:space="preserve">Volunteer/unpaid staff hours worked on committees or at meetings relevant to the service type.</w:t>
                  </w:r>
                </w:p>
                <w:p>
                  <w:pPr>
                    <w:pStyle w:val="ListParagraph"/>
                    <w:numPr>
                      <w:ilvl w:val="0"/>
                      <w:numId w:val="15"/>
                    </w:numPr>
                  </w:pPr>
                  <w:r>
                    <w:t xml:space="preserve">Staff hours worked as unpaid work by usually paid or contract staff.</w:t>
                  </w:r>
                </w:p>
                <w:p>
                  <w:pPr>
                    <w:pStyle w:val="ListParagraph"/>
                    <w:numPr>
                      <w:ilvl w:val="0"/>
                      <w:numId w:val="15"/>
                    </w:numPr>
                  </w:pPr>
                  <w:r>
                    <w:t xml:space="preserve">Volunteer/unpaid staff hours worked by staff contracted to clean premises.</w:t>
                  </w:r>
                </w:p>
                <w:p>
                  <w:pPr>
                    <w:pStyle w:val="ListParagraph"/>
                    <w:numPr>
                      <w:ilvl w:val="0"/>
                      <w:numId w:val="15"/>
                    </w:numPr>
                  </w:pPr>
                  <w:r>
                    <w:t xml:space="preserve">Staff hours worked by staff receiving training relevant to the service type.</w:t>
                  </w:r>
                </w:p>
                <w:p>
                  <w:r>
                    <w:t xml:space="preserve">The following should be excluded from volunteer/unpaid staff hours worked:</w:t>
                  </w:r>
                </w:p>
                <w:p>
                  <w:pPr>
                    <w:pStyle w:val="ListParagraph"/>
                    <w:numPr>
                      <w:ilvl w:val="0"/>
                      <w:numId w:val="16"/>
                    </w:numPr>
                  </w:pPr>
                  <w:r>
                    <w:t xml:space="preserve">Staff hours for workers on leave (including public holidays).</w:t>
                  </w:r>
                </w:p>
                <w:p>
                  <w:pPr>
                    <w:pStyle w:val="ListParagraph"/>
                    <w:numPr>
                      <w:ilvl w:val="0"/>
                      <w:numId w:val="16"/>
                    </w:numPr>
                  </w:pPr>
                  <w:r>
                    <w:t xml:space="preserve">Staff hours normally worked in positions that are currently vacant.</w:t>
                  </w:r>
                </w:p>
                <w:p>
                  <w:r>
                    <w:rPr>
                      <w:b/>
                    </w:rPr>
                    <w:t xml:space="preserve">Typical week: Collection methods</w:t>
                  </w:r>
                </w:p>
                <w:p>
                  <w:r>
                    <w:t xml:space="preserve">As above but include:</w:t>
                  </w:r>
                </w:p>
                <w:p>
                  <w:pPr>
                    <w:pStyle w:val="ListParagraph"/>
                    <w:numPr>
                      <w:ilvl w:val="0"/>
                      <w:numId w:val="17"/>
                    </w:numPr>
                  </w:pPr>
                  <w:r>
                    <w:t xml:space="preserve">Staff hours for workers on leave (including public holidays).</w:t>
                  </w:r>
                </w:p>
                <w:p>
                  <w:pPr>
                    <w:pStyle w:val="ListParagraph"/>
                    <w:numPr>
                      <w:ilvl w:val="0"/>
                      <w:numId w:val="17"/>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15c84ab3824ae8">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t xml:space="preserve">This data element should be reported by funding departments in relation to all non-government service type outlets.</w:t>
                  </w:r>
                </w:p>
                <w:p>
                  <w:r>
                    <w:t xml:space="preserve">Where a </w:t>
                  </w:r>
                  <w:hyperlink w:tooltip="A service type outlet is the unit of the funded agency that delivers a particular CSTDA service type at or from a discrete location. If a funded agency provides, say, both accommodation support and respite services, it is counted as two service type ou..." w:history="true" r:id="R2bcdbc01188d4521">
                    <w:r>
                      <w:rPr>
                        <w:rStyle w:val="Hyperlink"/>
                        <w:b/>
                      </w:rPr>
                      <w:t xml:space="preserve">service type outlet </w:t>
                    </w:r>
                  </w:hyperlink>
                  <w:r>
                    <w:t xml:space="preserve">has a formal relationship with a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5e0a4211e27d45cc">
                    <w:r>
                      <w:rPr>
                        <w:rStyle w:val="Hyperlink"/>
                        <w:b/>
                      </w:rPr>
                      <w:t xml:space="preserve">CSTDA funded agency </w:t>
                    </w:r>
                  </w:hyperlink>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7011df71f48f9">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CSTDA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7b799956c4b0d">
                    <w:r>
                      <w:rPr>
                        <w:rStyle w:val="Hyperlink"/>
                      </w:rPr>
                      <w:t xml:space="preserve">Service provider organisation—number of clients, total people N[NNNN]</w:t>
                    </w:r>
                  </w:hyperlink>
                </w:p>
                <w:p>
                  <w:r>
                    <w:rPr>
                      <w:b/>
                      <w:i/>
                      <w:color w:val="333333"/>
                    </w:rPr>
                    <w:t xml:space="preserve">DSS specific information:</w:t>
                  </w:r>
                </w:p>
                <w:p>
                  <w:r>
                    <w:t xml:space="preserve">In the CSTDA NMDS, this data element refers to the number of service users receiving CSTDA-funded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1c4fc895f4e4c">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793280a0b4014">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04364ca634c7b">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51a1fc83c41ac">
                    <w:r>
                      <w:rPr>
                        <w:rStyle w:val="Hyperlink"/>
                      </w:rPr>
                      <w:t xml:space="preserve">Service provider organisation—organisation identifier (CSTDA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d0ace7c40498c">
                    <w:r>
                      <w:rPr>
                        <w:rStyle w:val="Hyperlink"/>
                      </w:rPr>
                      <w:t xml:space="preserve">Service provider organisation—organisation identifier (CSTDA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300c377a584ac4">
                    <w:r>
                      <w:rPr>
                        <w:rStyle w:val="Hyperlink"/>
                      </w:rPr>
                      <w:t xml:space="preserve">Service provider organisation—sector, code N</w:t>
                    </w:r>
                  </w:hyperlink>
                </w:p>
                <w:p>
                  <w:r>
                    <w:rPr>
                      <w:b/>
                      <w:i/>
                      <w:color w:val="333333"/>
                    </w:rPr>
                    <w:t xml:space="preserve">DSS specific information:</w:t>
                  </w:r>
                </w:p>
                <w:p>
                  <w:r>
                    <w:t xml:space="preserve">This item is used in the CSTDA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b8dbe4f8d468b">
                    <w:r>
                      <w:rPr>
                        <w:rStyle w:val="Hyperlink"/>
                      </w:rPr>
                      <w:t xml:space="preserve">Service provider organisation—service activity type, CSTDA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4c86efbc5a54f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317350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8417a085ca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86efbc5a54f24" /><Relationship Type="http://schemas.openxmlformats.org/officeDocument/2006/relationships/header" Target="/word/header1.xml" Id="R7077ed95d0404fdb" /><Relationship Type="http://schemas.openxmlformats.org/officeDocument/2006/relationships/settings" Target="/word/settings.xml" Id="R18f24f6e2c284fc1" /><Relationship Type="http://schemas.openxmlformats.org/officeDocument/2006/relationships/styles" Target="/word/styles.xml" Id="Rd378c9a8af244312" /><Relationship Type="http://schemas.openxmlformats.org/officeDocument/2006/relationships/numbering" Target="/word/numbering.xml" Id="R27d34c67bf974c09" /><Relationship Type="http://schemas.openxmlformats.org/officeDocument/2006/relationships/hyperlink" Target="https://meteor-uat.aihw.gov.au/RegistrationAuthority/3" TargetMode="External" Id="Rf1fc318a4db54150" /><Relationship Type="http://schemas.openxmlformats.org/officeDocument/2006/relationships/hyperlink" Target="https://meteor-uat.aihw.gov.au/content/367581" TargetMode="External" Id="Ra86089920da045be" /><Relationship Type="http://schemas.openxmlformats.org/officeDocument/2006/relationships/hyperlink" Target="https://meteor-uat.aihw.gov.au/content/372123" TargetMode="External" Id="Raf77f6d4f39c43da" /><Relationship Type="http://schemas.openxmlformats.org/officeDocument/2006/relationships/hyperlink" Target="https://meteor-uat.aihw.gov.au/RegistrationAuthority/3" TargetMode="External" Id="R53ac843cda904cb1" /><Relationship Type="http://schemas.openxmlformats.org/officeDocument/2006/relationships/hyperlink" Target="https://meteor-uat.aihw.gov.au/content/323093" TargetMode="External" Id="R3ec61a67073d4c9f" /><Relationship Type="http://schemas.openxmlformats.org/officeDocument/2006/relationships/hyperlink" Target="https://meteor-uat.aihw.gov.au/content/329314" TargetMode="External" Id="R45ee99253ec44897" /><Relationship Type="http://schemas.openxmlformats.org/officeDocument/2006/relationships/hyperlink" Target="https://meteor-uat.aihw.gov.au/content/270167" TargetMode="External" Id="R5ff6517d81714a1b" /><Relationship Type="http://schemas.openxmlformats.org/officeDocument/2006/relationships/hyperlink" Target="https://meteor-uat.aihw.gov.au/content/323760" TargetMode="External" Id="R821b2d8c520d4be6" /><Relationship Type="http://schemas.openxmlformats.org/officeDocument/2006/relationships/hyperlink" Target="https://meteor-uat.aihw.gov.au/content/315636" TargetMode="External" Id="R9af36f7ae8c040c7" /><Relationship Type="http://schemas.openxmlformats.org/officeDocument/2006/relationships/hyperlink" Target="https://meteor-uat.aihw.gov.au/content/323286" TargetMode="External" Id="R80c37e3bcc564ea3" /><Relationship Type="http://schemas.openxmlformats.org/officeDocument/2006/relationships/hyperlink" Target="https://meteor-uat.aihw.gov.au/content/287224" TargetMode="External" Id="Rd0015c90298540af" /><Relationship Type="http://schemas.openxmlformats.org/officeDocument/2006/relationships/hyperlink" Target="https://meteor-uat.aihw.gov.au/content/347342" TargetMode="External" Id="R6af03f8fd0654664" /><Relationship Type="http://schemas.openxmlformats.org/officeDocument/2006/relationships/hyperlink" Target="https://meteor-uat.aihw.gov.au/content/320125" TargetMode="External" Id="Rddf8142b8724400a" /><Relationship Type="http://schemas.openxmlformats.org/officeDocument/2006/relationships/hyperlink" Target="https://meteor-uat.aihw.gov.au/content/323751" TargetMode="External" Id="R8aaf9b31a01c46d6" /><Relationship Type="http://schemas.openxmlformats.org/officeDocument/2006/relationships/hyperlink" Target="https://meteor-uat.aihw.gov.au/content/345093" TargetMode="External" Id="Rab7f593a33be4ebb" /><Relationship Type="http://schemas.openxmlformats.org/officeDocument/2006/relationships/hyperlink" Target="https://meteor-uat.aihw.gov.au/content/270277" TargetMode="External" Id="R18bd89ad1b6049cc" /><Relationship Type="http://schemas.openxmlformats.org/officeDocument/2006/relationships/hyperlink" Target="https://meteor-uat.aihw.gov.au/content/287007" TargetMode="External" Id="R2e75be9fd4c14b1c" /><Relationship Type="http://schemas.openxmlformats.org/officeDocument/2006/relationships/hyperlink" Target="https://meteor-uat.aihw.gov.au/content/345049" TargetMode="External" Id="R4d9074d8daef40ea" /><Relationship Type="http://schemas.openxmlformats.org/officeDocument/2006/relationships/hyperlink" Target="https://meteor-uat.aihw.gov.au/content/323170" TargetMode="External" Id="R662f0a30fb8d411a" /><Relationship Type="http://schemas.openxmlformats.org/officeDocument/2006/relationships/hyperlink" Target="https://meteor-uat.aihw.gov.au/content/291036" TargetMode="External" Id="Ref9b59d77e2b4d28" /><Relationship Type="http://schemas.openxmlformats.org/officeDocument/2006/relationships/hyperlink" Target="https://meteor-uat.aihw.gov.au/content/320939" TargetMode="External" Id="R2be4ee8dfa8f4456" /><Relationship Type="http://schemas.openxmlformats.org/officeDocument/2006/relationships/hyperlink" Target="https://meteor-uat.aihw.gov.au/content/304294" TargetMode="External" Id="R2f3d0d4dcb1641e1" /><Relationship Type="http://schemas.openxmlformats.org/officeDocument/2006/relationships/hyperlink" Target="https://meteor-uat.aihw.gov.au/content/270112" TargetMode="External" Id="R75a1cd2b149e49aa" /><Relationship Type="http://schemas.openxmlformats.org/officeDocument/2006/relationships/hyperlink" Target="https://meteor-uat.aihw.gov.au/content/349481" TargetMode="External" Id="R26efcff3e2f74b8e" /><Relationship Type="http://schemas.openxmlformats.org/officeDocument/2006/relationships/hyperlink" Target="https://meteor-uat.aihw.gov.au/content/349483" TargetMode="External" Id="R5be778c302fd457f" /><Relationship Type="http://schemas.openxmlformats.org/officeDocument/2006/relationships/hyperlink" Target="https://meteor-uat.aihw.gov.au/content/270385" TargetMode="External" Id="R36f3439846784ef9" /><Relationship Type="http://schemas.openxmlformats.org/officeDocument/2006/relationships/hyperlink" Target="https://meteor-uat.aihw.gov.au/content/342678" TargetMode="External" Id="R5992a121566d4a5c" /><Relationship Type="http://schemas.openxmlformats.org/officeDocument/2006/relationships/hyperlink" Target="https://meteor-uat.aihw.gov.au/content/323492" TargetMode="External" Id="R72d19279b22d4bb1" /><Relationship Type="http://schemas.openxmlformats.org/officeDocument/2006/relationships/hyperlink" Target="https://meteor-uat.aihw.gov.au/content/323510" TargetMode="External" Id="Rac1b49981db14f8e" /><Relationship Type="http://schemas.openxmlformats.org/officeDocument/2006/relationships/hyperlink" Target="https://meteor-uat.aihw.gov.au/content/287316" TargetMode="External" Id="Rb19ca09be88a4edb" /><Relationship Type="http://schemas.openxmlformats.org/officeDocument/2006/relationships/hyperlink" Target="https://meteor-uat.aihw.gov.au/content/323214" TargetMode="External" Id="Rc14ee8d27eee4634" /><Relationship Type="http://schemas.openxmlformats.org/officeDocument/2006/relationships/hyperlink" Target="https://meteor-uat.aihw.gov.au/content/323185" TargetMode="External" Id="R4f753160fa73473a" /><Relationship Type="http://schemas.openxmlformats.org/officeDocument/2006/relationships/hyperlink" Target="https://meteor-uat.aihw.gov.au/content/323308" TargetMode="External" Id="R15e307f5f93e45be" /><Relationship Type="http://schemas.openxmlformats.org/officeDocument/2006/relationships/hyperlink" Target="https://meteor-uat.aihw.gov.au/content/270160" TargetMode="External" Id="R2b72973a822b491c" /><Relationship Type="http://schemas.openxmlformats.org/officeDocument/2006/relationships/hyperlink" Target="https://meteor-uat.aihw.gov.au/content/338558" TargetMode="External" Id="R2b10f1474b0b413d" /><Relationship Type="http://schemas.openxmlformats.org/officeDocument/2006/relationships/hyperlink" Target="https://meteor-uat.aihw.gov.au/content/349406" TargetMode="External" Id="Ra8a8f136049f400b" /><Relationship Type="http://schemas.openxmlformats.org/officeDocument/2006/relationships/hyperlink" Target="https://meteor-uat.aihw.gov.au/content/323253" TargetMode="External" Id="R7e978c62187244eb" /><Relationship Type="http://schemas.openxmlformats.org/officeDocument/2006/relationships/hyperlink" Target="https://meteor-uat.aihw.gov.au/content/290064" TargetMode="External" Id="R21ecc1d0e4304798" /><Relationship Type="http://schemas.openxmlformats.org/officeDocument/2006/relationships/hyperlink" Target="https://meteor-uat.aihw.gov.au/content/289083" TargetMode="External" Id="R67f205b750794be3" /><Relationship Type="http://schemas.openxmlformats.org/officeDocument/2006/relationships/hyperlink" Target="https://meteor-uat.aihw.gov.au/content/322176" TargetMode="External" Id="R4b921114db744930" /><Relationship Type="http://schemas.openxmlformats.org/officeDocument/2006/relationships/hyperlink" Target="https://meteor-uat.aihw.gov.au/content/321039" TargetMode="External" Id="R6a2aaec9fb90439e" /><Relationship Type="http://schemas.openxmlformats.org/officeDocument/2006/relationships/hyperlink" Target="https://meteor-uat.aihw.gov.au/content/355759" TargetMode="External" Id="R7e08e5ecc24c4a19" /><Relationship Type="http://schemas.openxmlformats.org/officeDocument/2006/relationships/hyperlink" Target="https://meteor-uat.aihw.gov.au/content/342729" TargetMode="External" Id="R1bd18b79b15c4766" /><Relationship Type="http://schemas.openxmlformats.org/officeDocument/2006/relationships/hyperlink" Target="https://meteor-uat.aihw.gov.au/content/347870" TargetMode="External" Id="R746599ed0afb46c2" /><Relationship Type="http://schemas.openxmlformats.org/officeDocument/2006/relationships/hyperlink" Target="https://meteor-uat.aihw.gov.au/content/347882" TargetMode="External" Id="R4a12379bf06c4a2f" /><Relationship Type="http://schemas.openxmlformats.org/officeDocument/2006/relationships/hyperlink" Target="https://meteor-uat.aihw.gov.au/content/321004" TargetMode="External" Id="R1e15c84ab3824ae8" /><Relationship Type="http://schemas.openxmlformats.org/officeDocument/2006/relationships/hyperlink" Target="https://meteor-uat.aihw.gov.au/content/344878" TargetMode="External" Id="R2bcdbc01188d4521" /><Relationship Type="http://schemas.openxmlformats.org/officeDocument/2006/relationships/hyperlink" Target="https://meteor-uat.aihw.gov.au/content/344853" TargetMode="External" Id="R5e0a4211e27d45cc" /><Relationship Type="http://schemas.openxmlformats.org/officeDocument/2006/relationships/hyperlink" Target="https://meteor-uat.aihw.gov.au/content/322239" TargetMode="External" Id="R66c7011df71f48f9" /><Relationship Type="http://schemas.openxmlformats.org/officeDocument/2006/relationships/hyperlink" Target="https://meteor-uat.aihw.gov.au/content/321271" TargetMode="External" Id="Rf4a7b799956c4b0d" /><Relationship Type="http://schemas.openxmlformats.org/officeDocument/2006/relationships/hyperlink" Target="https://meteor-uat.aihw.gov.au/content/323188" TargetMode="External" Id="Rbf81c4fc895f4e4c" /><Relationship Type="http://schemas.openxmlformats.org/officeDocument/2006/relationships/hyperlink" Target="https://meteor-uat.aihw.gov.au/content/270376" TargetMode="External" Id="R37a793280a0b4014" /><Relationship Type="http://schemas.openxmlformats.org/officeDocument/2006/relationships/hyperlink" Target="https://meteor-uat.aihw.gov.au/content/270377" TargetMode="External" Id="Rd5104364ca634c7b" /><Relationship Type="http://schemas.openxmlformats.org/officeDocument/2006/relationships/hyperlink" Target="https://meteor-uat.aihw.gov.au/content/321209" TargetMode="External" Id="Rc3b51a1fc83c41ac" /><Relationship Type="http://schemas.openxmlformats.org/officeDocument/2006/relationships/hyperlink" Target="https://meteor-uat.aihw.gov.au/content/321288" TargetMode="External" Id="R419d0ace7c40498c" /><Relationship Type="http://schemas.openxmlformats.org/officeDocument/2006/relationships/hyperlink" Target="https://meteor-uat.aihw.gov.au/content/350937" TargetMode="External" Id="Re3300c377a584ac4" /><Relationship Type="http://schemas.openxmlformats.org/officeDocument/2006/relationships/hyperlink" Target="https://meteor-uat.aihw.gov.au/content/321276" TargetMode="External" Id="R0a3b8dbe4f8d468b" /></Relationships>
</file>

<file path=word/_rels/header1.xml.rels>&#65279;<?xml version="1.0" encoding="utf-8"?><Relationships xmlns="http://schemas.openxmlformats.org/package/2006/relationships"><Relationship Type="http://schemas.openxmlformats.org/officeDocument/2006/relationships/image" Target="/media/image.png" Id="R3a8417a085ca4dfa" /></Relationships>
</file>