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aad0c033444c4"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54cc674ac469a">
              <w:r>
                <w:rPr>
                  <w:rStyle w:val="Hyperlink"/>
                  <w:color w:val="244061"/>
                </w:rPr>
                <w:t xml:space="preserve">Health!</w:t>
              </w:r>
            </w:hyperlink>
            <w:r>
              <w:rPr>
                <w:rStyle w:val="row-content"/>
                <w:color w:val="244061"/>
              </w:rPr>
              <w:t xml:space="preserve">, Standard 21/09/2005</w:t>
            </w:r>
          </w:p>
          <w:p>
            <w:pPr>
              <w:spacing w:before="0" w:after="0"/>
            </w:pPr>
            <w:hyperlink w:history="true" r:id="R2321cc0cc3234d2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9716074b244239">
              <w:r>
                <w:rPr>
                  <w:rStyle w:val="Hyperlink"/>
                </w:rPr>
                <w:t xml:space="preserve">Person—body mass index (classification), code N[.N]</w:t>
              </w:r>
            </w:hyperlink>
          </w:p>
          <w:p>
            <w:pPr>
              <w:pStyle w:val="registration-status"/>
              <w:spacing w:before="0" w:after="0"/>
            </w:pPr>
            <w:hyperlink w:history="true" r:id="Rfa77108397404cc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df29a681f90433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4fee30bb236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385d8b312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ee30bb236466f" /><Relationship Type="http://schemas.openxmlformats.org/officeDocument/2006/relationships/header" Target="/word/header1.xml" Id="Rfb01b7b56b57438b" /><Relationship Type="http://schemas.openxmlformats.org/officeDocument/2006/relationships/settings" Target="/word/settings.xml" Id="R316c18f600714671" /><Relationship Type="http://schemas.openxmlformats.org/officeDocument/2006/relationships/styles" Target="/word/styles.xml" Id="R3540931ce5844efc" /><Relationship Type="http://schemas.openxmlformats.org/officeDocument/2006/relationships/hyperlink" Target="https://meteor-uat.aihw.gov.au/RegistrationAuthority/14" TargetMode="External" Id="Rbb354cc674ac469a" /><Relationship Type="http://schemas.openxmlformats.org/officeDocument/2006/relationships/hyperlink" Target="https://meteor-uat.aihw.gov.au/RegistrationAuthority/9" TargetMode="External" Id="R2321cc0cc3234d2d" /><Relationship Type="http://schemas.openxmlformats.org/officeDocument/2006/relationships/hyperlink" Target="https://meteor-uat.aihw.gov.au/content/270474" TargetMode="External" Id="Re39716074b244239" /><Relationship Type="http://schemas.openxmlformats.org/officeDocument/2006/relationships/hyperlink" Target="https://meteor-uat.aihw.gov.au/RegistrationAuthority/14" TargetMode="External" Id="Rfa77108397404cc1" /><Relationship Type="http://schemas.openxmlformats.org/officeDocument/2006/relationships/hyperlink" Target="https://meteor-uat.aihw.gov.au/RegistrationAuthority/9" TargetMode="External" Id="Rfdf29a681f904331" /></Relationships>
</file>

<file path=word/_rels/header1.xml.rels>&#65279;<?xml version="1.0" encoding="utf-8"?><Relationships xmlns="http://schemas.openxmlformats.org/package/2006/relationships"><Relationship Type="http://schemas.openxmlformats.org/officeDocument/2006/relationships/image" Target="/media/image.png" Id="R7ee385d8b3124a8c" /></Relationships>
</file>