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ffdf738c76491f" /></Relationships>
</file>

<file path=word/document.xml><?xml version="1.0" encoding="utf-8"?>
<w:document xmlns:r="http://schemas.openxmlformats.org/officeDocument/2006/relationships" xmlns:w="http://schemas.openxmlformats.org/wordprocessingml/2006/main">
  <w:body>
    <w:p>
      <w:pPr>
        <w:pStyle w:val="Title"/>
      </w:pPr>
      <w:r>
        <w:t>Dwelling—utility status (electricity supply),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Dwelling—utility status (electricity supply),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utility status (electricity supply)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c810a7c9c440a3">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dwelling is connected to an organised electricity supply.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9074c3bc594534">
              <w:r>
                <w:rPr>
                  <w:rStyle w:val="Hyperlink"/>
                </w:rPr>
                <w:t xml:space="preserve">Dwelling—utility status (electricity supply)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259dafed6a4d0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 those organised on a community basis and those organised for individual dwellings. Include: state grid/transmitted supply, community generators, domestic generators, solar power or other organised electricity supply.</w:t>
            </w:r>
          </w:p>
          <w:p>
            <w:pPr>
              <w:spacing w:after="160"/>
            </w:pPr>
            <w:r>
              <w:rPr>
                <w:rStyle w:val="row-content-rich-text"/>
                <w:b/>
              </w:rPr>
              <w:t xml:space="preserve">Code 1 Yes:</w:t>
            </w:r>
            <w:r>
              <w:rPr>
                <w:rStyle w:val="row-content-rich-text"/>
              </w:rPr>
              <w:t xml:space="preserve"> Record if the dwelling is connected to an organised electricity supply.</w:t>
            </w:r>
            <w:r>
              <w:br/>
            </w:r>
            <w:r>
              <w:rPr>
                <w:rStyle w:val="row-content-rich-text"/>
                <w:b/>
              </w:rPr>
              <w:t xml:space="preserve">Code 2 No:</w:t>
            </w:r>
            <w:r>
              <w:rPr>
                <w:rStyle w:val="row-content-rich-text"/>
              </w:rPr>
              <w:t xml:space="preserve"> Record if the dwelling is not connected to an organised electricity supply.</w:t>
            </w:r>
          </w:p>
          <w:p>
            <w:pPr>
              <w:spacing w:after="160"/>
            </w:pPr>
            <w:r>
              <w:rPr>
                <w:rStyle w:val="row-content-rich-text"/>
                <w:b/>
              </w:rPr>
              <w:t xml:space="preserve">State grid/transmitted supply:</w:t>
            </w:r>
            <w:r>
              <w:rPr>
                <w:rStyle w:val="row-content-rich-text"/>
              </w:rPr>
              <w:t xml:space="preserve"> electricity generated by a large power station which transmits electricity to the community or urban centre through a network of high voltage powerlines. Electricity generation can be produced in a number of ways such as hydro-electric, coal and natural gas.</w:t>
            </w:r>
          </w:p>
          <w:p>
            <w:pPr>
              <w:spacing w:after="160"/>
            </w:pPr>
            <w:r>
              <w:rPr>
                <w:rStyle w:val="row-content-rich-text"/>
                <w:b/>
              </w:rPr>
              <w:t xml:space="preserve">Community generators:</w:t>
            </w:r>
            <w:r>
              <w:rPr>
                <w:rStyle w:val="row-content-rich-text"/>
              </w:rPr>
              <w:t xml:space="preserve"> power generator usually fuelled by diesel or natural gas and typically has the capacity to generate enough power for 20 or more dwellings.</w:t>
            </w:r>
          </w:p>
          <w:p>
            <w:pPr>
              <w:spacing w:after="160"/>
            </w:pPr>
            <w:r>
              <w:rPr>
                <w:rStyle w:val="row-content-rich-text"/>
                <w:b/>
              </w:rPr>
              <w:t xml:space="preserve">Domestic generators:</w:t>
            </w:r>
            <w:r>
              <w:rPr>
                <w:rStyle w:val="row-content-rich-text"/>
              </w:rPr>
              <w:t xml:space="preserve"> power generator run off either diesel, fuel or petrol. A domestic generator is designed to provide power to one dwelling by could support two dwellings.</w:t>
            </w:r>
          </w:p>
          <w:p>
            <w:pPr>
              <w:spacing w:after="160"/>
            </w:pPr>
            <w:r>
              <w:rPr>
                <w:rStyle w:val="row-content-rich-text"/>
                <w:b/>
              </w:rPr>
              <w:t xml:space="preserve">Solar:</w:t>
            </w:r>
            <w:r>
              <w:rPr>
                <w:rStyle w:val="row-content-rich-text"/>
              </w:rPr>
              <w:t xml:space="preserve"> this method of power generation captures the heat of the sun and converts this heat into electricity, or uses the heat directly. Solar power used only to provide hot water is excluded.</w:t>
            </w:r>
          </w:p>
          <w:p>
            <w:pPr/>
            <w:r>
              <w:rPr>
                <w:rStyle w:val="row-content-rich-text"/>
                <w:b/>
              </w:rPr>
              <w:t xml:space="preserve">Other:</w:t>
            </w:r>
            <w:r>
              <w:rPr>
                <w:rStyle w:val="row-content-rich-text"/>
              </w:rPr>
              <w:t xml:space="preserve"> includes hydro-electric, wind, biomass, methane.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included in the following housing assistance data collections:</w:t>
            </w:r>
          </w:p>
          <w:p>
            <w:pPr/>
            <w:r>
              <w:rPr>
                <w:rStyle w:val="row-content-rich-text"/>
              </w:rPr>
              <w:t xml:space="preserve">National Reporting Framework for Indigenous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85dc2aaf4944410">
              <w:r>
                <w:rPr>
                  <w:rStyle w:val="Hyperlink"/>
                </w:rPr>
                <w:t xml:space="preserve">Dwelling—permanency status </w:t>
              </w:r>
            </w:hyperlink>
          </w:p>
          <w:p>
            <w:pPr>
              <w:pStyle w:val="registration-status"/>
              <w:spacing w:before="0" w:after="0"/>
            </w:pPr>
            <w:hyperlink w:history="true" r:id="R1bc3436b3bd74489">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1e2e79189b3a4fe8">
              <w:r>
                <w:rPr>
                  <w:rStyle w:val="Hyperlink"/>
                </w:rPr>
                <w:t xml:space="preserve">Dwelling—permanency status </w:t>
              </w:r>
            </w:hyperlink>
          </w:p>
          <w:p>
            <w:pPr>
              <w:pStyle w:val="registration-status"/>
              <w:spacing w:before="0" w:after="0"/>
            </w:pPr>
            <w:hyperlink w:history="true" r:id="R1820f7640e944ad6">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ab9af66beef84b34">
              <w:r>
                <w:rPr>
                  <w:rStyle w:val="Hyperlink"/>
                </w:rPr>
                <w:t xml:space="preserve">Dwelling—utility status (sewerage system),  code N</w:t>
              </w:r>
            </w:hyperlink>
          </w:p>
          <w:p>
            <w:pPr>
              <w:pStyle w:val="registration-status"/>
              <w:spacing w:before="0" w:after="0"/>
            </w:pPr>
            <w:hyperlink w:history="true" r:id="Rdff233a03aca414f">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be74a53792ff4e7d">
              <w:r>
                <w:rPr>
                  <w:rStyle w:val="Hyperlink"/>
                </w:rPr>
                <w:t xml:space="preserve">Dwelling—utility status (water supply)</w:t>
              </w:r>
            </w:hyperlink>
          </w:p>
          <w:p>
            <w:pPr>
              <w:pStyle w:val="registration-status"/>
              <w:spacing w:before="0" w:after="0"/>
            </w:pPr>
            <w:hyperlink w:history="true" r:id="R26b467ea27814a7d">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ecc67f417b1c464d">
              <w:r>
                <w:rPr>
                  <w:rStyle w:val="Hyperlink"/>
                </w:rPr>
                <w:t xml:space="preserve">Dwelling—utility status (water supply), code N</w:t>
              </w:r>
            </w:hyperlink>
          </w:p>
          <w:p>
            <w:pPr>
              <w:pStyle w:val="registration-status"/>
              <w:spacing w:before="0" w:after="0"/>
            </w:pPr>
            <w:hyperlink w:history="true" r:id="Rb5bfde67fdca4096">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627c93ed71d24f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05524ff2b140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7c93ed71d24f2c" /><Relationship Type="http://schemas.openxmlformats.org/officeDocument/2006/relationships/header" Target="/word/header1.xml" Id="R2f037cab50e54f37" /><Relationship Type="http://schemas.openxmlformats.org/officeDocument/2006/relationships/settings" Target="/word/settings.xml" Id="R300c80eebe1244b0" /><Relationship Type="http://schemas.openxmlformats.org/officeDocument/2006/relationships/styles" Target="/word/styles.xml" Id="R0f6dad2f83524509" /><Relationship Type="http://schemas.openxmlformats.org/officeDocument/2006/relationships/hyperlink" Target="https://meteor-uat.aihw.gov.au/RegistrationAuthority/13" TargetMode="External" Id="Ra3c810a7c9c440a3" /><Relationship Type="http://schemas.openxmlformats.org/officeDocument/2006/relationships/hyperlink" Target="https://meteor-uat.aihw.gov.au/content/292958" TargetMode="External" Id="Rda9074c3bc594534" /><Relationship Type="http://schemas.openxmlformats.org/officeDocument/2006/relationships/hyperlink" Target="https://meteor-uat.aihw.gov.au/content/301747" TargetMode="External" Id="R02259dafed6a4d00" /><Relationship Type="http://schemas.openxmlformats.org/officeDocument/2006/relationships/hyperlink" Target="https://meteor-uat.aihw.gov.au/content/292335" TargetMode="External" Id="Rb85dc2aaf4944410" /><Relationship Type="http://schemas.openxmlformats.org/officeDocument/2006/relationships/hyperlink" Target="https://meteor-uat.aihw.gov.au/RegistrationAuthority/13" TargetMode="External" Id="R1bc3436b3bd74489" /><Relationship Type="http://schemas.openxmlformats.org/officeDocument/2006/relationships/hyperlink" Target="https://meteor-uat.aihw.gov.au/content/662973" TargetMode="External" Id="R1e2e79189b3a4fe8" /><Relationship Type="http://schemas.openxmlformats.org/officeDocument/2006/relationships/hyperlink" Target="https://meteor-uat.aihw.gov.au/RegistrationAuthority/13" TargetMode="External" Id="R1820f7640e944ad6" /><Relationship Type="http://schemas.openxmlformats.org/officeDocument/2006/relationships/hyperlink" Target="https://meteor-uat.aihw.gov.au/content/295000" TargetMode="External" Id="Rab9af66beef84b34" /><Relationship Type="http://schemas.openxmlformats.org/officeDocument/2006/relationships/hyperlink" Target="https://meteor-uat.aihw.gov.au/RegistrationAuthority/13" TargetMode="External" Id="Rdff233a03aca414f" /><Relationship Type="http://schemas.openxmlformats.org/officeDocument/2006/relationships/hyperlink" Target="https://meteor-uat.aihw.gov.au/content/294995" TargetMode="External" Id="Rbe74a53792ff4e7d" /><Relationship Type="http://schemas.openxmlformats.org/officeDocument/2006/relationships/hyperlink" Target="https://meteor-uat.aihw.gov.au/RegistrationAuthority/13" TargetMode="External" Id="R26b467ea27814a7d" /><Relationship Type="http://schemas.openxmlformats.org/officeDocument/2006/relationships/hyperlink" Target="https://meteor-uat.aihw.gov.au/content/295002" TargetMode="External" Id="Recc67f417b1c464d" /><Relationship Type="http://schemas.openxmlformats.org/officeDocument/2006/relationships/hyperlink" Target="https://meteor-uat.aihw.gov.au/RegistrationAuthority/13" TargetMode="External" Id="Rb5bfde67fdca4096" /></Relationships>
</file>

<file path=word/_rels/header1.xml.rels>&#65279;<?xml version="1.0" encoding="utf-8"?><Relationships xmlns="http://schemas.openxmlformats.org/package/2006/relationships"><Relationship Type="http://schemas.openxmlformats.org/officeDocument/2006/relationships/image" Target="/media/image.png" Id="R1b05524ff2b14002" /></Relationships>
</file>