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2c3c63287a4e90" /></Relationships>
</file>

<file path=word/document.xml><?xml version="1.0" encoding="utf-8"?>
<w:document xmlns:r="http://schemas.openxmlformats.org/officeDocument/2006/relationships" xmlns:w="http://schemas.openxmlformats.org/wordprocessingml/2006/main">
  <w:body>
    <w:p>
      <w:pPr>
        <w:pStyle w:val="Title"/>
      </w:pPr>
      <w:r>
        <w:t>Person—Indigenous status, Housing assistance Indigenous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Housing assistance Indigenous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a33e86fbf4485">
              <w:r>
                <w:rPr>
                  <w:rStyle w:val="Hyperlink"/>
                  <w:color w:val="244061"/>
                </w:rPr>
                <w:t xml:space="preserve">Housing assistance</w:t>
              </w:r>
            </w:hyperlink>
            <w:r>
              <w:rPr>
                <w:rStyle w:val="row-content"/>
                <w:color w:val="244061"/>
              </w:rPr>
              <w:t xml:space="preserve">, Retired 15/04/2010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decb8b382e4ec1">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c45a7e079f4c73">
              <w:r>
                <w:rPr>
                  <w:rStyle w:val="Hyperlink"/>
                </w:rPr>
                <w:t xml:space="preserve">Housing assistance Indigenous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ABS Standard for Indigenous Status. For detailed advice on its use and application please refer to the ABS Website as indicated in the Origin section.</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stated/inadequately described:</w:t>
            </w:r>
          </w:p>
          <w:p>
            <w:pPr>
              <w:spacing w:after="160"/>
            </w:pPr>
            <w:r>
              <w:rPr>
                <w:rStyle w:val="row-content-rich-text"/>
              </w:rPr>
              <w:t xml:space="preserve">The not stated/inadequately described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w:t>
            </w:r>
          </w:p>
          <w:p>
            <w:pPr>
              <w:spacing w:after="160"/>
            </w:pPr>
            <w:r>
              <w:rPr>
                <w:rStyle w:val="row-content-rich-text"/>
              </w:rPr>
              <w:t xml:space="preserve">When someone is not present, the person answering for them should be in a position to do so, i.e. this person must know the person about whom the question is being asked well and feel confident to provide accurate information about them. However, it is strongly recommended that this question be asked directly wherever possible.</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w:t>
            </w:r>
          </w:p>
          <w:p>
            <w:pPr>
              <w:spacing w:after="160"/>
            </w:pPr>
            <w:r>
              <w:rPr>
                <w:rStyle w:val="row-content-rich-text"/>
              </w:rPr>
              <w:t xml:space="preserve">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spacing w:after="160"/>
            </w:pPr>
            <w:r>
              <w:rPr>
                <w:rStyle w:val="row-content-rich-text"/>
              </w:rPr>
              <w:t xml:space="preserve">May be included if this better suits the data collection practices of the agency or establishment concerned.</w:t>
            </w:r>
          </w:p>
          <w:p>
            <w:pPr/>
            <w:r>
              <w:rPr>
                <w:rStyle w:val="row-content-rich-text"/>
              </w:rPr>
              <w:t xml:space="preserve">There has been some controversy over the issue of whether South Sea Islanders need to be included in the definition of Aboriginal or Torres Strait Islander. The ABS clearly states that South Sea Islanders are not Indigenous and should therefore be coded accordingly. Subsequently, South Sea Islanders are to be coded under category 2 'Neither Aboriginal or Torres Strait Islander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28afef3104974b52">
              <w:r>
                <w:rPr>
                  <w:rStyle w:val="Hyperlink"/>
                </w:rPr>
                <w:t xml:space="preserve">Standards for Social, Labour and Demographic Variables</w:t>
              </w:r>
            </w:hyperlink>
            <w:r>
              <w:rPr>
                <w:rStyle w:val="row-content-rich-text"/>
              </w:rPr>
              <w:t xml:space="preserve">.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Some service providers may find it difficult to ask a question about a person's Indigenous status. Furthermore, some Indigenous persons may be reluctant to answer a question about their Indigenous status because previous experience has led them to believe that identifying as an Indigenous person may disadvantage them. Without assistance with implementing this data element the data provided are likely to be of low validity and reliability.</w:t>
            </w:r>
            <w:r>
              <w:br/>
            </w:r>
            <w:r>
              <w:rPr>
                <w:rStyle w:val="row-content-rich-text"/>
              </w:rPr>
              <w:t xml:space="preserve">Presently,  the housing data collections do not differentiate between Aboriginal and Torres Strait Islander origin. Commonly, the question asked is 'Does the person (client) identify themselves as an Aboriginal or Torres Strait Islander?' and the possible responses are Yes/No/Not known.</w:t>
            </w:r>
            <w:r>
              <w:br/>
            </w:r>
            <w:r>
              <w:rPr>
                <w:rStyle w:val="row-content-rich-text"/>
              </w:rPr>
              <w:t xml:space="preserve">This does not conform with the ABS national standard, which incorporates the more detailed data domains of:</w:t>
            </w:r>
            <w:r>
              <w:br/>
            </w:r>
            <w:r>
              <w:rPr>
                <w:rStyle w:val="row-content-rich-text"/>
              </w:rPr>
              <w:t xml:space="preserve">1. Aboriginal but not Torres Strait Islander origin</w:t>
            </w:r>
            <w:r>
              <w:br/>
            </w:r>
            <w:r>
              <w:rPr>
                <w:rStyle w:val="row-content-rich-text"/>
              </w:rPr>
              <w:t xml:space="preserve">2. Torres Strait Islander but not Aboriginal origin</w:t>
            </w:r>
            <w:r>
              <w:br/>
            </w:r>
            <w:r>
              <w:rPr>
                <w:rStyle w:val="row-content-rich-text"/>
              </w:rPr>
              <w:t xml:space="preserve">3. Both Aboriginal and Torres Strait Islander origin</w:t>
            </w:r>
            <w:r>
              <w:br/>
            </w:r>
            <w:r>
              <w:rPr>
                <w:rStyle w:val="row-content-rich-text"/>
              </w:rPr>
              <w:t xml:space="preserve">4. Neither Aboriginal nor Torres Strait Islander origin</w:t>
            </w:r>
            <w:r>
              <w:br/>
            </w:r>
            <w:r>
              <w:rPr>
                <w:rStyle w:val="row-content-rich-text"/>
              </w:rPr>
              <w:t xml:space="preserve">9. Not stated/inadequately described</w:t>
            </w:r>
            <w:r>
              <w:br/>
            </w:r>
            <w:r>
              <w:rPr>
                <w:rStyle w:val="row-content-rich-text"/>
              </w:rPr>
              <w:t xml:space="preserve">It is also not possible to map the response of 'Indigenous - not further defined' to the ABS standard.</w:t>
            </w:r>
            <w:r>
              <w:br/>
            </w:r>
            <w:r>
              <w:rPr>
                <w:rStyle w:val="row-content-rich-text"/>
              </w:rPr>
              <w:t xml:space="preserve">The following definition, commonly known as 'The Commonwealth Definition' was given in a High Court judgement in the case of Commonwealth v Tasmania (1983) 46 ALR 625.</w:t>
            </w:r>
            <w:r>
              <w:br/>
            </w: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r>
              <w:br/>
            </w:r>
            <w:r>
              <w:rPr>
                <w:rStyle w:val="row-content-rich-text"/>
              </w:rPr>
              <w:t xml:space="preserve">There are three components to the Commonwealth definition:</w:t>
            </w:r>
            <w:r>
              <w:br/>
            </w:r>
            <w:r>
              <w:rPr>
                <w:rStyle w:val="row-content-rich-text"/>
              </w:rPr>
              <w:t xml:space="preserve">- descent;</w:t>
            </w:r>
            <w:r>
              <w:br/>
            </w:r>
            <w:r>
              <w:rPr>
                <w:rStyle w:val="row-content-rich-text"/>
              </w:rPr>
              <w:t xml:space="preserve">- self-identification; and</w:t>
            </w:r>
            <w:r>
              <w:br/>
            </w:r>
            <w:r>
              <w:rPr>
                <w:rStyle w:val="row-content-rich-text"/>
              </w:rPr>
              <w:t xml:space="preserve">- community acceptance.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2d5beab0d2a74442">
              <w:r>
                <w:rPr>
                  <w:rStyle w:val="Hyperlink"/>
                </w:rPr>
                <w:t xml:space="preserve">Standards for Social, Labour and Demographic Variables</w:t>
              </w:r>
            </w:hyperlink>
            <w:r>
              <w:rPr>
                <w:rStyle w:val="row-content-rich-text"/>
              </w:rPr>
              <w:t xml:space="preserve">.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68e8f3d2d68409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8e8f3d2d68409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2eb78fc35e4879"/>
                            <a:srcRect/>
                            <a:stretch>
                              <a:fillRect/>
                            </a:stretch>
                          </pic:blipFill>
                          <pic:spPr bwMode="auto">
                            <a:xfrm>
                              <a:off x="0" y="0"/>
                              <a:ext cx="152400" cy="152400"/>
                            </a:xfrm>
                            <a:prstGeom prst="rect">
                              <a:avLst/>
                            </a:prstGeom>
                          </pic:spPr>
                        </pic:pic>
                      </a:graphicData>
                    </a:graphic>
                  </wp:inline>
                </w:drawing>
              </w:r>
              <w:r>
                <w:rPr>
                  <w:rStyle w:val="Hyperlink"/>
                </w:rPr>
                <w:t xml:space="preserve"> Indigenous status, version 1, DE, NHADD, NHDAMG,  Superseded 01/03/2005.pdf</w:t>
              </w:r>
            </w:hyperlink>
          </w:p>
          <w:p>
            <w:r>
              <w:rPr>
                <w:rStyle w:val="row-content"/>
              </w:rPr>
              <w:t xml:space="preserve"> (24.9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ad5b2169f66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92adb89ba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5b2169f66469b" /><Relationship Type="http://schemas.openxmlformats.org/officeDocument/2006/relationships/header" Target="/word/header1.xml" Id="Rc98f7903bce149ec" /><Relationship Type="http://schemas.openxmlformats.org/officeDocument/2006/relationships/settings" Target="/word/settings.xml" Id="R1541a8b1ce614bec" /><Relationship Type="http://schemas.openxmlformats.org/officeDocument/2006/relationships/styles" Target="/word/styles.xml" Id="R42b3a7d9e9cc4a47" /><Relationship Type="http://schemas.openxmlformats.org/officeDocument/2006/relationships/numbering" Target="/word/numbering.xml" Id="R0a0c77a2fb4341b2" /><Relationship Type="http://schemas.openxmlformats.org/officeDocument/2006/relationships/image" Target="/media/image.gif" Id="R992eb78fc35e4879" /><Relationship Type="http://schemas.openxmlformats.org/officeDocument/2006/relationships/hyperlink" Target="https://meteor-uat.aihw.gov.au/RegistrationAuthority/13" TargetMode="External" Id="R56da33e86fbf4485" /><Relationship Type="http://schemas.openxmlformats.org/officeDocument/2006/relationships/hyperlink" Target="https://meteor-uat.aihw.gov.au/content/269618" TargetMode="External" Id="R29decb8b382e4ec1" /><Relationship Type="http://schemas.openxmlformats.org/officeDocument/2006/relationships/hyperlink" Target="https://meteor-uat.aihw.gov.au/content/270736" TargetMode="External" Id="R1fc45a7e079f4c73" /><Relationship Type="http://schemas.openxmlformats.org/officeDocument/2006/relationships/hyperlink" Target="http://www.abs.gov.au/Ausstats/abs@.nsf/66f306f503e529a5ca25697e0017661f/68afff8107510ef6ca25697e0018fe49!OpenDocument" TargetMode="External" Id="R28afef3104974b52" /><Relationship Type="http://schemas.openxmlformats.org/officeDocument/2006/relationships/hyperlink" Target="http://www.abs.gov.au/Ausstats/abs@.nsf/66f306f503e529a5ca25697e0017661f/68afff8107510ef6ca25697e0018fe49!OpenDocument" TargetMode="External" Id="R2d5beab0d2a74442" /><Relationship Type="http://schemas.openxmlformats.org/officeDocument/2006/relationships/hyperlink" Target="https://meteor-uat.aihw.gov.au/content/273683" TargetMode="External" Id="Rc68e8f3d2d684091" /></Relationships>
</file>

<file path=word/_rels/header1.xml.rels>&#65279;<?xml version="1.0" encoding="utf-8"?><Relationships xmlns="http://schemas.openxmlformats.org/package/2006/relationships"><Relationship Type="http://schemas.openxmlformats.org/officeDocument/2006/relationships/image" Target="/media/image.png" Id="R69592adb89ba495b" /></Relationships>
</file>