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3220435784530" /></Relationships>
</file>

<file path=word/document.xml><?xml version="1.0" encoding="utf-8"?>
<w:document xmlns:r="http://schemas.openxmlformats.org/officeDocument/2006/relationships" xmlns:w="http://schemas.openxmlformats.org/wordprocessingml/2006/main">
  <w:body>
    <w:p>
      <w:pPr>
        <w:pStyle w:val="Title"/>
      </w:pPr>
      <w:r>
        <w:t>Person—height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9f9773aa540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22d03149df41a7">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588edf51244075">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ensure consistency in measurement, the measurement protocol described under Collection methods should be used.</w:t>
            </w:r>
          </w:p>
          <w:p>
            <w:pPr/>
            <w:r>
              <w:rPr>
                <w:rStyle w:val="row-content-rich-text"/>
              </w:rPr>
              <w:t xml:space="preserve">Measurements of height should be assessed in relation to children and adolescents' age and pubertal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measurement protocol described below are those recommended by the International Society for the Advancement of Kinanthropometry as described by Norton et al. (1996), and the World Health Organization (WHO Expert Committee 1995), which was adapted from Lohman et al. (1988).</w:t>
            </w:r>
          </w:p>
          <w:p>
            <w:pPr>
              <w:spacing w:after="160"/>
            </w:pPr>
            <w:r>
              <w:rPr>
                <w:rStyle w:val="row-content-rich-text"/>
              </w:rPr>
              <w:t xml:space="preserve">Measurement protocol:</w:t>
            </w:r>
          </w:p>
          <w:p>
            <w:pPr>
              <w:spacing w:after="160"/>
            </w:pPr>
            <w:r>
              <w:rPr>
                <w:rStyle w:val="row-content-rich-text"/>
              </w:rPr>
              <w:t xml:space="preserve">Height measurements can be based on recumbent length or standing height. In general, length measurements are recommended for children under 2 years of age and height measurements for others.</w:t>
            </w:r>
          </w:p>
          <w:p>
            <w:pPr>
              <w:spacing w:after="160"/>
            </w:pPr>
            <w:r>
              <w:rPr>
                <w:rStyle w:val="row-content-rich-text"/>
              </w:rPr>
              <w:t xml:space="preserve">The measurement of height requires a vertical metric rule, a horizontal headboard, and a non-compressible flat even surface on which the subject stands. The equipment may be fixed or portable, and should be described and reported.</w:t>
            </w:r>
          </w:p>
          <w:p>
            <w:pPr>
              <w:spacing w:after="160"/>
            </w:pPr>
            <w:r>
              <w:rPr>
                <w:rStyle w:val="row-content-rich-text"/>
              </w:rPr>
              <w:t xml:space="preserve">The graduations on the metric rule should be at 0.1 cm intervals, and the metric rule should have the capacity to measure up to at least 210 cm.</w:t>
            </w:r>
          </w:p>
          <w:p>
            <w:pPr>
              <w:spacing w:after="160"/>
            </w:pPr>
            <w:r>
              <w:rPr>
                <w:rStyle w:val="row-content-rich-text"/>
              </w:rPr>
              <w:t xml:space="preserve">Measurement intervals and labels should be clearly readable under all conditions of use of the instrument.</w:t>
            </w:r>
          </w:p>
          <w:p>
            <w:pPr>
              <w:spacing w:after="160"/>
            </w:pPr>
            <w:r>
              <w:rPr>
                <w:rStyle w:val="row-content-rich-text"/>
              </w:rPr>
              <w:t xml:space="preserve">Apparatus that allows height to be measured while the subject stands on a platform scale is not recommended.</w:t>
            </w:r>
          </w:p>
          <w:p>
            <w:pPr>
              <w:spacing w:after="160"/>
            </w:pPr>
            <w:r>
              <w:rPr>
                <w:rStyle w:val="row-content-rich-text"/>
              </w:rPr>
              <w:t xml:space="preserve">Adults and children who can stand:</w:t>
            </w:r>
          </w:p>
          <w:p>
            <w:pPr>
              <w:spacing w:after="160"/>
            </w:pPr>
            <w:r>
              <w:rPr>
                <w:rStyle w:val="row-content-rich-text"/>
              </w:rPr>
              <w:t xml:space="preserve">The subject should be measured without shoes (i.e. is barefoot or wears thin socks) and wears little clothing so that the positioning of the body can be seen. Anything that may affect or interfere with the measurement should be noted on the data collection form (e.g. hairstyles and accessories, or physical problems). The subject stands with weight distributed evenly on both feet, heels together, and the head positioned so that the line of vision is at right angles to the body. The correct position for the head is in the Frankfort horizontal plan (Norton et al. 1996). The arms hang freely by the sides. The head, back, buttocks and heels are positioned vertically so that the buttocks and the heels are in contact with the vertical board. To obtain a consistent measure, the subject is asked to inhale deeply and stretch to their fullest height. The measurer applies gentle upward pressure through the mastoid processes to maintain a fully erect position when the measurement is taken. Ensure that the head remains positioned so that the line of vision is at right angles to the body, and the heels remain in contact with the base board.</w:t>
            </w:r>
          </w:p>
          <w:p>
            <w:pPr>
              <w:spacing w:after="160"/>
            </w:pPr>
            <w:r>
              <w:rPr>
                <w:rStyle w:val="row-content-rich-text"/>
              </w:rPr>
              <w:t xml:space="preserve">The movable headboard is brought onto the top of the head with sufficient pressure to compress the hair.</w:t>
            </w:r>
          </w:p>
          <w:p>
            <w:pPr>
              <w:spacing w:after="160"/>
            </w:pPr>
            <w:r>
              <w:rPr>
                <w:rStyle w:val="row-content-rich-text"/>
              </w:rPr>
              <w:t xml:space="preserve">The measurement is recorded to the nearest 0.1 cm. Take a repeat measurement. If the two measurements disagree by more than 0.5 cm, then take a third measurement. All raw measurements should be recorded on the data collection form. If practical, it is preferable to enter the raw data into the database as this enables intra-observer and, where relevant, inter-observer errors to be assessed. The subject's measured height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 reporting (Armitage &amp; Berry 1994). For example, a mean value of 172.25 cm would be rounded to 172.2 cm, while a mean value of 172.35 cm would be rounded to 172.4 cm.</w:t>
            </w:r>
          </w:p>
          <w:p>
            <w:pPr>
              <w:spacing w:after="160"/>
            </w:pPr>
            <w:r>
              <w:rPr>
                <w:rStyle w:val="row-content-rich-text"/>
              </w:rPr>
              <w:t xml:space="preserve">Infants:</w:t>
            </w:r>
          </w:p>
          <w:p>
            <w:pPr>
              <w:spacing w:after="160"/>
            </w:pPr>
            <w:r>
              <w:rPr>
                <w:rStyle w:val="row-content-rich-text"/>
              </w:rPr>
              <w:t xml:space="preserve">For the measurement of supine length of children up to and including 2 years of age, two observers are required. One observer positions the head correctly while the other ensures the remaining position is correct and brings the measuring board in contact with the feet. The subject lies in a supine position on a recumbent length table or measuring board. The crown of the head must touch the stationary, vertical headboard. The subject's head is held with the line of vision aligned perpendicular to the plane of the measuring surface. The shoulders and buttocks must be flat against the table top, with the shoulders and hips aligned at right angles to the long axis of the body. The legs must be extended at the hips and knees and lie flat against the table top and the arms rest against the sides of the trunk. The measurer must ensure that the legs remain flat on the table and must shift the movable board against the heels. In infants care has to be taken to extend the legs gently. In some older children two observers may also be required.</w:t>
            </w:r>
          </w:p>
          <w:p>
            <w:pPr>
              <w:spacing w:after="160"/>
            </w:pPr>
            <w:r>
              <w:rPr>
                <w:rStyle w:val="row-content-rich-text"/>
              </w:rPr>
              <w:t xml:space="preserve">In general, length or height is measured and reported to the nearest 0.1 cm. For any child, the length measurement is approximately 0.5–1.5 cm greater than the height measurement. It is therefore recommended that when a length measurement is applied to a height-based reference for children over 24 months of age (or over 85 cm if age is not known), 1.0 cm be subtracted before the length measurement is compared with the reference. It is also recommended that as a matter of procedure and data recording accuracy, the date be recorded when the change is made from supine to standing height measure.</w:t>
            </w:r>
          </w:p>
          <w:p>
            <w:pPr>
              <w:spacing w:after="160"/>
            </w:pPr>
            <w:r>
              <w:rPr>
                <w:rStyle w:val="row-content-rich-text"/>
              </w:rPr>
              <w:t xml:space="preserve">Validation and quality control measures:</w:t>
            </w:r>
          </w:p>
          <w:p>
            <w:pPr>
              <w:spacing w:after="160"/>
            </w:pPr>
            <w:r>
              <w:rPr>
                <w:rStyle w:val="row-content-rich-text"/>
              </w:rPr>
              <w:t xml:space="preserve">All equipment, whether fixed or portable should be checked prior to each measurement session to ensure that both the headboard and floor (or footboard) are at 90 degrees to the vertical rule. With some types of portable anthropometer it is necessary to check the correct alignment of the headboard, during each measurement, by means of a spirit level. Within- and, if relevant, between-observer variability should be reported. They can be assessed by the same (within-) or different (between-) observers repeating the measurement of height, on the same subjects, under standard conditions after a short time interval. The standard deviation of replicate measurements (technical error of measurement (Pederson &amp; Gore 1996)) between observers should not exceed 5 mm and be less than 5 mm within observers.</w:t>
            </w:r>
          </w:p>
          <w:p>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 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women, children and adolescents although the range will depend on the population:</w:t>
            </w:r>
          </w:p>
          <w:p>
            <w:pPr>
              <w:spacing w:after="160"/>
            </w:pPr>
            <w:r>
              <w:rPr>
                <w:rStyle w:val="row-content-rich-text"/>
              </w:rPr>
              <w:t xml:space="preserve">Height &lt; 70 cm</w:t>
            </w:r>
          </w:p>
          <w:p>
            <w:pPr>
              <w:spacing w:after="160"/>
            </w:pPr>
            <w:r>
              <w:rPr>
                <w:rStyle w:val="row-content-rich-text"/>
              </w:rPr>
              <w:t xml:space="preserve">70 cm = Height &lt; 75 cm</w:t>
            </w:r>
          </w:p>
          <w:p>
            <w:pPr>
              <w:spacing w:after="160"/>
            </w:pPr>
            <w:r>
              <w:rPr>
                <w:rStyle w:val="row-content-rich-text"/>
              </w:rPr>
              <w:t xml:space="preserve">75 cm = Height &lt; 80 cm</w:t>
            </w:r>
          </w:p>
          <w:p>
            <w:pPr>
              <w:spacing w:after="160"/>
            </w:pPr>
            <w:r>
              <w:rPr>
                <w:rStyle w:val="row-content-rich-text"/>
              </w:rPr>
              <w:t xml:space="preserve">... in 5 cm categories</w:t>
            </w:r>
          </w:p>
          <w:p>
            <w:pPr>
              <w:spacing w:after="160"/>
            </w:pPr>
            <w:r>
              <w:rPr>
                <w:rStyle w:val="row-content-rich-text"/>
              </w:rPr>
              <w:t xml:space="preserve">185 cm = Height &lt; 190 cm</w:t>
            </w:r>
          </w:p>
          <w:p>
            <w:pPr/>
            <w:r>
              <w:rPr>
                <w:rStyle w:val="row-content-rich-text"/>
              </w:rPr>
              <w:t xml:space="preserve">Height =&gt; 190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c0e107bc3c14ef7">
              <w:r>
                <w:rPr>
                  <w:rStyle w:val="Hyperlink"/>
                </w:rPr>
                <w:t xml:space="preserve">Adult—body mass index (measured), ratio NN[N].N[N]</w:t>
              </w:r>
            </w:hyperlink>
          </w:p>
          <w:p>
            <w:pPr>
              <w:pStyle w:val="registration-status"/>
              <w:spacing w:before="0" w:after="0"/>
            </w:pPr>
            <w:hyperlink w:history="true" r:id="Rc63583cbe5bc45a2">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17e8e2dec75f408d">
              <w:r>
                <w:rPr>
                  <w:rStyle w:val="Hyperlink"/>
                </w:rPr>
                <w:t xml:space="preserve">Adult—body mass index (self-reported), ratio NN[N].N[N]</w:t>
              </w:r>
            </w:hyperlink>
          </w:p>
          <w:p>
            <w:pPr>
              <w:pStyle w:val="registration-status"/>
              <w:spacing w:before="0" w:after="0"/>
            </w:pPr>
            <w:hyperlink w:history="true" r:id="Ra9ba49d73a44458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24fe0d0fe074bb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acfd66e635f8429b">
              <w:r>
                <w:rPr>
                  <w:rStyle w:val="Hyperlink"/>
                </w:rPr>
                <w:t xml:space="preserve">Child—body mass index (measured), ratio NN[N].N[N]</w:t>
              </w:r>
            </w:hyperlink>
          </w:p>
          <w:p>
            <w:pPr>
              <w:pStyle w:val="registration-status"/>
              <w:spacing w:before="0" w:after="0"/>
            </w:pPr>
            <w:hyperlink w:history="true" r:id="Rca126ad5f125421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c81917c0e618412c">
              <w:r>
                <w:rPr>
                  <w:rStyle w:val="Hyperlink"/>
                </w:rPr>
                <w:t xml:space="preserve">Child—body mass index (self-reported), ratio NN[N].N[N]</w:t>
              </w:r>
            </w:hyperlink>
          </w:p>
          <w:p>
            <w:pPr>
              <w:pStyle w:val="registration-status"/>
              <w:spacing w:before="0" w:after="0"/>
            </w:pPr>
            <w:hyperlink w:history="true" r:id="R7e21e7ca756f4cdb">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7e783d2db15445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783d2db15445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b5047e1b754b17"/>
                            <a:srcRect/>
                            <a:stretch>
                              <a:fillRect/>
                            </a:stretch>
                          </pic:blipFill>
                          <pic:spPr bwMode="auto">
                            <a:xfrm>
                              <a:off x="0" y="0"/>
                              <a:ext cx="152400" cy="152400"/>
                            </a:xfrm>
                            <a:prstGeom prst="rect">
                              <a:avLst/>
                            </a:prstGeom>
                          </pic:spPr>
                        </pic:pic>
                      </a:graphicData>
                    </a:graphic>
                  </wp:inline>
                </w:drawing>
              </w:r>
              <w:r>
                <w:rPr>
                  <w:rStyle w:val="Hyperlink"/>
                </w:rPr>
                <w:t xml:space="preserve"> Height - measured, version 2, DE, NHDD, NHIMG, Superseded 01/03/2005.pdf</w:t>
              </w:r>
            </w:hyperlink>
          </w:p>
          <w:p>
            <w:r>
              <w:rPr>
                <w:rStyle w:val="row-content"/>
              </w:rPr>
              <w:t xml:space="preserve"> (28.7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604eba0cee4720">
              <w:r>
                <w:rPr>
                  <w:rStyle w:val="Hyperlink"/>
                </w:rPr>
                <w:t xml:space="preserve">Acute coronary syndrome (clinical) DSS</w:t>
              </w:r>
            </w:hyperlink>
          </w:p>
          <w:p>
            <w:pPr>
              <w:pStyle w:val="registration-status"/>
              <w:spacing w:before="0" w:after="0"/>
            </w:pPr>
            <w:hyperlink w:history="true" r:id="R62c1aca2e33c46e2">
              <w:r>
                <w:rPr>
                  <w:rStyle w:val="Hyperlink"/>
                  <w:color w:val="244061"/>
                </w:rPr>
                <w:t xml:space="preserve">Health!</w:t>
              </w:r>
            </w:hyperlink>
            <w:r>
              <w:rPr>
                <w:rStyle w:val="row-content"/>
                <w:color w:val="244061"/>
              </w:rPr>
              <w:t xml:space="preserve">, Superseded 01/09/2012</w:t>
            </w:r>
          </w:p>
          <w:p>
            <w:r>
              <w:br/>
            </w:r>
            <w:hyperlink w:history="true" r:id="R8a4ea13835b54e0c">
              <w:r>
                <w:rPr>
                  <w:rStyle w:val="Hyperlink"/>
                </w:rPr>
                <w:t xml:space="preserve">Acute coronary syndrome (clinical) DSS</w:t>
              </w:r>
            </w:hyperlink>
          </w:p>
          <w:p>
            <w:pPr>
              <w:pStyle w:val="registration-status"/>
              <w:spacing w:before="0" w:after="0"/>
            </w:pPr>
            <w:hyperlink w:history="true" r:id="R713bb2e5814e42c7">
              <w:r>
                <w:rPr>
                  <w:rStyle w:val="Hyperlink"/>
                  <w:color w:val="244061"/>
                </w:rPr>
                <w:t xml:space="preserve">Health!</w:t>
              </w:r>
            </w:hyperlink>
            <w:r>
              <w:rPr>
                <w:rStyle w:val="row-content"/>
                <w:color w:val="244061"/>
              </w:rPr>
              <w:t xml:space="preserve">, Superseded 02/05/2013</w:t>
            </w:r>
          </w:p>
          <w:p>
            <w:r>
              <w:br/>
            </w:r>
            <w:hyperlink w:history="true" r:id="R2bdab316825849c5">
              <w:r>
                <w:rPr>
                  <w:rStyle w:val="Hyperlink"/>
                </w:rPr>
                <w:t xml:space="preserve">Acute coronary syndrome (clinical) NBPDS 2013-</w:t>
              </w:r>
            </w:hyperlink>
          </w:p>
          <w:p>
            <w:pPr>
              <w:pStyle w:val="registration-status"/>
              <w:spacing w:before="0" w:after="0"/>
            </w:pPr>
            <w:hyperlink w:history="true" r:id="Rebf6fefcec2a4e2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ba7dcba65cbc47ef">
              <w:r>
                <w:rPr>
                  <w:rStyle w:val="Hyperlink"/>
                </w:rPr>
                <w:t xml:space="preserve">Cardiovascular disease (clinical) DSS</w:t>
              </w:r>
            </w:hyperlink>
          </w:p>
          <w:p>
            <w:pPr>
              <w:pStyle w:val="registration-status"/>
              <w:spacing w:before="0" w:after="0"/>
            </w:pPr>
            <w:hyperlink w:history="true" r:id="Rdf8b810acea94615">
              <w:r>
                <w:rPr>
                  <w:rStyle w:val="Hyperlink"/>
                  <w:color w:val="244061"/>
                </w:rPr>
                <w:t xml:space="preserve">Health!</w:t>
              </w:r>
            </w:hyperlink>
            <w:r>
              <w:rPr>
                <w:rStyle w:val="row-content"/>
                <w:color w:val="244061"/>
              </w:rPr>
              <w:t xml:space="preserve">, Superseded 15/02/2006</w:t>
            </w:r>
          </w:p>
          <w:p>
            <w:r>
              <w:br/>
            </w:r>
            <w:hyperlink w:history="true" r:id="R39ce7d43628544e9">
              <w:r>
                <w:rPr>
                  <w:rStyle w:val="Hyperlink"/>
                </w:rPr>
                <w:t xml:space="preserve">Cardiovascular disease (clinical) DSS</w:t>
              </w:r>
            </w:hyperlink>
          </w:p>
          <w:p>
            <w:pPr>
              <w:pStyle w:val="registration-status"/>
              <w:spacing w:before="0" w:after="0"/>
            </w:pPr>
            <w:hyperlink w:history="true" r:id="R1f59deccb67d4eb3">
              <w:r>
                <w:rPr>
                  <w:rStyle w:val="Hyperlink"/>
                  <w:color w:val="244061"/>
                </w:rPr>
                <w:t xml:space="preserve">Health!</w:t>
              </w:r>
            </w:hyperlink>
            <w:r>
              <w:rPr>
                <w:rStyle w:val="row-content"/>
                <w:color w:val="244061"/>
              </w:rPr>
              <w:t xml:space="preserve">, Superseded 04/07/2007</w:t>
            </w:r>
          </w:p>
          <w:p>
            <w:r>
              <w:br/>
            </w:r>
            <w:hyperlink w:history="true" r:id="R09854b45aed940fb">
              <w:r>
                <w:rPr>
                  <w:rStyle w:val="Hyperlink"/>
                </w:rPr>
                <w:t xml:space="preserve">Cardiovascular disease (clinical) DSS</w:t>
              </w:r>
            </w:hyperlink>
          </w:p>
          <w:p>
            <w:pPr>
              <w:pStyle w:val="registration-status"/>
              <w:spacing w:before="0" w:after="0"/>
            </w:pPr>
            <w:hyperlink w:history="true" r:id="R1ece01a9427347ea">
              <w:r>
                <w:rPr>
                  <w:rStyle w:val="Hyperlink"/>
                  <w:color w:val="244061"/>
                </w:rPr>
                <w:t xml:space="preserve">Health!</w:t>
              </w:r>
            </w:hyperlink>
            <w:r>
              <w:rPr>
                <w:rStyle w:val="row-content"/>
                <w:color w:val="244061"/>
              </w:rPr>
              <w:t xml:space="preserve">, Superseded 22/12/2009</w:t>
            </w:r>
          </w:p>
          <w:p>
            <w:r>
              <w:br/>
            </w:r>
            <w:hyperlink w:history="true" r:id="Rf84fa3d42ad34643">
              <w:r>
                <w:rPr>
                  <w:rStyle w:val="Hyperlink"/>
                </w:rPr>
                <w:t xml:space="preserve">Cardiovascular disease (clinical) DSS</w:t>
              </w:r>
            </w:hyperlink>
          </w:p>
          <w:p>
            <w:pPr>
              <w:pStyle w:val="registration-status"/>
              <w:spacing w:before="0" w:after="0"/>
            </w:pPr>
            <w:hyperlink w:history="true" r:id="Rf0e1b32843d94a27">
              <w:r>
                <w:rPr>
                  <w:rStyle w:val="Hyperlink"/>
                  <w:color w:val="244061"/>
                </w:rPr>
                <w:t xml:space="preserve">Health!</w:t>
              </w:r>
            </w:hyperlink>
            <w:r>
              <w:rPr>
                <w:rStyle w:val="row-content"/>
                <w:color w:val="244061"/>
              </w:rPr>
              <w:t xml:space="preserve">, Superseded 01/09/2012</w:t>
            </w:r>
          </w:p>
          <w:p>
            <w:r>
              <w:br/>
            </w:r>
            <w:hyperlink w:history="true" r:id="Ra210b72cd30c4860">
              <w:r>
                <w:rPr>
                  <w:rStyle w:val="Hyperlink"/>
                </w:rPr>
                <w:t xml:space="preserve">Cardiovascular disease (clinical) NBPDS</w:t>
              </w:r>
            </w:hyperlink>
          </w:p>
          <w:p>
            <w:pPr>
              <w:pStyle w:val="registration-status"/>
              <w:spacing w:before="0" w:after="0"/>
            </w:pPr>
            <w:hyperlink w:history="true" r:id="R4a02344fc6d04c11">
              <w:r>
                <w:rPr>
                  <w:rStyle w:val="Hyperlink"/>
                  <w:color w:val="244061"/>
                </w:rPr>
                <w:t xml:space="preserve">Health!</w:t>
              </w:r>
            </w:hyperlink>
            <w:r>
              <w:rPr>
                <w:rStyle w:val="row-content"/>
                <w:color w:val="244061"/>
              </w:rPr>
              <w:t xml:space="preserve">, Superseded 17/10/2018</w:t>
            </w:r>
          </w:p>
          <w:p>
            <w:r>
              <w:br/>
            </w:r>
            <w:hyperlink w:history="true" r:id="R6f2fa514902d467e">
              <w:r>
                <w:rPr>
                  <w:rStyle w:val="Hyperlink"/>
                </w:rPr>
                <w:t xml:space="preserve">Cardiovascular disease (clinical) NBPDS </w:t>
              </w:r>
            </w:hyperlink>
          </w:p>
          <w:p>
            <w:pPr>
              <w:pStyle w:val="registration-status"/>
              <w:spacing w:before="0" w:after="0"/>
            </w:pPr>
            <w:hyperlink w:history="true" r:id="R49c4f2222697428f">
              <w:r>
                <w:rPr>
                  <w:rStyle w:val="Hyperlink"/>
                  <w:color w:val="244061"/>
                </w:rPr>
                <w:t xml:space="preserve">Health!</w:t>
              </w:r>
            </w:hyperlink>
            <w:r>
              <w:rPr>
                <w:rStyle w:val="row-content"/>
                <w:color w:val="244061"/>
              </w:rPr>
              <w:t xml:space="preserve">, Standard 17/10/2018</w:t>
            </w:r>
          </w:p>
          <w:p>
            <w:r>
              <w:br/>
            </w:r>
            <w:hyperlink w:history="true" r:id="R213212a18915497a">
              <w:r>
                <w:rPr>
                  <w:rStyle w:val="Hyperlink"/>
                </w:rPr>
                <w:t xml:space="preserve">Diabetes (clinical) DSS</w:t>
              </w:r>
            </w:hyperlink>
          </w:p>
          <w:p>
            <w:pPr>
              <w:pStyle w:val="registration-status"/>
              <w:spacing w:before="0" w:after="0"/>
            </w:pPr>
            <w:hyperlink w:history="true" r:id="Rb8119ea058aa4fa2">
              <w:r>
                <w:rPr>
                  <w:rStyle w:val="Hyperlink"/>
                  <w:color w:val="244061"/>
                </w:rPr>
                <w:t xml:space="preserve">Health!</w:t>
              </w:r>
            </w:hyperlink>
            <w:r>
              <w:rPr>
                <w:rStyle w:val="row-content"/>
                <w:color w:val="244061"/>
              </w:rPr>
              <w:t xml:space="preserve">, Superseded 21/09/2005</w:t>
            </w:r>
          </w:p>
          <w:p>
            <w:r>
              <w:br/>
            </w:r>
            <w:hyperlink w:history="true" r:id="R6701e9d18d544f62">
              <w:r>
                <w:rPr>
                  <w:rStyle w:val="Hyperlink"/>
                </w:rPr>
                <w:t xml:space="preserve">Diabetes (clinical) NBPDS</w:t>
              </w:r>
            </w:hyperlink>
          </w:p>
          <w:p>
            <w:pPr>
              <w:pStyle w:val="registration-status"/>
              <w:spacing w:before="0" w:after="0"/>
            </w:pPr>
            <w:hyperlink w:history="true" r:id="Reae0673486f5473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rPr>
                <w:rStyle w:val="row-conten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p>
            <w:r>
              <w:br/>
            </w:r>
            <w:r>
              <w:br/>
            </w:r>
            <w:hyperlink w:history="true" r:id="Ra496b98e989d4649">
              <w:r>
                <w:rPr>
                  <w:rStyle w:val="Hyperlink"/>
                </w:rPr>
                <w:t xml:space="preserve">Perinatal DSS 2014-15</w:t>
              </w:r>
            </w:hyperlink>
          </w:p>
          <w:p>
            <w:pPr>
              <w:pStyle w:val="registration-status"/>
              <w:spacing w:before="0" w:after="0"/>
            </w:pPr>
            <w:hyperlink w:history="true" r:id="R9b7aa8cdb5e4495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987d8eb33e5a4e9c">
              <w:r>
                <w:rPr>
                  <w:rStyle w:val="Hyperlink"/>
                </w:rPr>
                <w:t xml:space="preserve">Perinatal DSS 2015-16</w:t>
              </w:r>
            </w:hyperlink>
          </w:p>
          <w:p>
            <w:pPr>
              <w:pStyle w:val="registration-status"/>
              <w:spacing w:before="0" w:after="0"/>
            </w:pPr>
            <w:hyperlink w:history="true" r:id="Rdebd9b5be92e42c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78e55975fc73436e">
              <w:r>
                <w:rPr>
                  <w:rStyle w:val="Hyperlink"/>
                </w:rPr>
                <w:t xml:space="preserve">Perinatal NBEDS 2016-17</w:t>
              </w:r>
            </w:hyperlink>
          </w:p>
          <w:p>
            <w:pPr>
              <w:pStyle w:val="registration-status"/>
              <w:spacing w:before="0" w:after="0"/>
            </w:pPr>
            <w:hyperlink w:history="true" r:id="R24913ff187424ce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10e0587cf97442f0">
              <w:r>
                <w:rPr>
                  <w:rStyle w:val="Hyperlink"/>
                </w:rPr>
                <w:t xml:space="preserve">Perinatal NBEDS 2017-18</w:t>
              </w:r>
            </w:hyperlink>
          </w:p>
          <w:p>
            <w:pPr>
              <w:pStyle w:val="registration-status"/>
              <w:spacing w:before="0" w:after="0"/>
            </w:pPr>
            <w:hyperlink w:history="true" r:id="R4aa0e8d0303c4a7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2d5422d0508d432f">
              <w:r>
                <w:rPr>
                  <w:rStyle w:val="Hyperlink"/>
                </w:rPr>
                <w:t xml:space="preserve">Perinatal NBEDS 2018-19</w:t>
              </w:r>
            </w:hyperlink>
          </w:p>
          <w:p>
            <w:pPr>
              <w:pStyle w:val="registration-status"/>
              <w:spacing w:before="0" w:after="0"/>
            </w:pPr>
            <w:hyperlink w:history="true" r:id="R6320df04ac5f410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40f14dc589be40fd">
              <w:r>
                <w:rPr>
                  <w:rStyle w:val="Hyperlink"/>
                </w:rPr>
                <w:t xml:space="preserve">Perinatal NBEDS 2019–20</w:t>
              </w:r>
            </w:hyperlink>
          </w:p>
          <w:p>
            <w:pPr>
              <w:pStyle w:val="registration-status"/>
              <w:spacing w:before="0" w:after="0"/>
            </w:pPr>
            <w:hyperlink w:history="true" r:id="Reb40886a62cc40f3">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measured height to be rounded to the nearest centimetre.</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a73b04d1533c46eb">
              <w:r>
                <w:rPr>
                  <w:rStyle w:val="Hyperlink"/>
                </w:rPr>
                <w:t xml:space="preserve">Person—height (self-reported), total centimetres NN[N]</w:t>
              </w:r>
            </w:hyperlink>
            <w:r>
              <w:rPr>
                <w:rStyle w:val="row-content"/>
              </w:rPr>
              <w:t xml:space="preserve"> data element.</w:t>
            </w:r>
          </w:p>
          <w:p>
            <w:r>
              <w:br/>
            </w:r>
            <w:r>
              <w:br/>
            </w:r>
            <w:hyperlink w:history="true" r:id="R31eaca8fc2a74d50">
              <w:r>
                <w:rPr>
                  <w:rStyle w:val="Hyperlink"/>
                </w:rPr>
                <w:t xml:space="preserve">Perinatal NBEDS 2020–21</w:t>
              </w:r>
            </w:hyperlink>
          </w:p>
          <w:p>
            <w:pPr>
              <w:pStyle w:val="registration-status"/>
              <w:spacing w:before="0" w:after="0"/>
            </w:pPr>
            <w:hyperlink w:history="true" r:id="R7314461372bd4e1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measured height to be rounded to the nearest centimetre.</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aededb69a76a4b0c">
              <w:r>
                <w:rPr>
                  <w:rStyle w:val="Hyperlink"/>
                </w:rPr>
                <w:t xml:space="preserve">Person—height (self-reported), total centimetres NN[N]</w:t>
              </w:r>
            </w:hyperlink>
            <w:r>
              <w:rPr>
                <w:rStyle w:val="row-content"/>
              </w:rPr>
              <w:t xml:space="preserve"> data element.</w:t>
            </w:r>
          </w:p>
          <w:p>
            <w:r>
              <w:br/>
            </w:r>
            <w:r>
              <w:br/>
            </w:r>
            <w:hyperlink w:history="true" r:id="R917744a993774a22">
              <w:r>
                <w:rPr>
                  <w:rStyle w:val="Hyperlink"/>
                </w:rPr>
                <w:t xml:space="preserve">Perinatal NBEDS 2021–22</w:t>
              </w:r>
            </w:hyperlink>
          </w:p>
          <w:p>
            <w:pPr>
              <w:pStyle w:val="registration-status"/>
              <w:spacing w:before="0" w:after="0"/>
            </w:pPr>
            <w:hyperlink w:history="true" r:id="Rbc0c3eb4b2734c3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9ddcb4ba4f5e4428">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hyperlink w:history="true" r:id="R9669e231920e43a5">
              <w:r>
                <w:rPr>
                  <w:rStyle w:val="Hyperlink"/>
                </w:rPr>
                <w:t xml:space="preserve">Perinatal NBEDS 2022–23</w:t>
              </w:r>
            </w:hyperlink>
          </w:p>
          <w:p>
            <w:pPr>
              <w:pStyle w:val="registration-status"/>
              <w:spacing w:before="0" w:after="0"/>
            </w:pPr>
            <w:hyperlink w:history="true" r:id="R30278dd6758d470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0549afcf5bed42b6">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p>
        </w:tc>
      </w:tr>
    </w:tbl>
    <w:p/>
    <w:tbl>
      <w:tblPr>
        <w:tblStyle w:val="TableGrid"/>
        <w:tblW w:w="0" w:type="auto"/>
      </w:tblPr>
    </w:tbl>
    <w:p>
      <w:r>
        <w:br/>
      </w:r>
    </w:p>
    <w:sectPr>
      <w:footerReference xmlns:r="http://schemas.openxmlformats.org/officeDocument/2006/relationships" w:type="default" r:id="R1f0beb2ef908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cf1a28a39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beb2ef9084f21" /><Relationship Type="http://schemas.openxmlformats.org/officeDocument/2006/relationships/header" Target="/word/header1.xml" Id="Rd3fad3f72dcd47c0" /><Relationship Type="http://schemas.openxmlformats.org/officeDocument/2006/relationships/settings" Target="/word/settings.xml" Id="Rdae3322b862e4562" /><Relationship Type="http://schemas.openxmlformats.org/officeDocument/2006/relationships/styles" Target="/word/styles.xml" Id="R43f62d5268f94653" /><Relationship Type="http://schemas.openxmlformats.org/officeDocument/2006/relationships/image" Target="/media/image.gif" Id="Rceb5047e1b754b17" /><Relationship Type="http://schemas.openxmlformats.org/officeDocument/2006/relationships/hyperlink" Target="https://meteor-uat.aihw.gov.au/RegistrationAuthority/14" TargetMode="External" Id="Rb0b9f9773aa540c1" /><Relationship Type="http://schemas.openxmlformats.org/officeDocument/2006/relationships/hyperlink" Target="https://meteor-uat.aihw.gov.au/content/269792" TargetMode="External" Id="Rd522d03149df41a7" /><Relationship Type="http://schemas.openxmlformats.org/officeDocument/2006/relationships/hyperlink" Target="https://meteor-uat.aihw.gov.au/content/270714" TargetMode="External" Id="Rcb588edf51244075" /><Relationship Type="http://schemas.openxmlformats.org/officeDocument/2006/relationships/hyperlink" Target="https://meteor-uat.aihw.gov.au/content/270084" TargetMode="External" Id="R1c0e107bc3c14ef7" /><Relationship Type="http://schemas.openxmlformats.org/officeDocument/2006/relationships/hyperlink" Target="https://meteor-uat.aihw.gov.au/RegistrationAuthority/14" TargetMode="External" Id="Rc63583cbe5bc45a2" /><Relationship Type="http://schemas.openxmlformats.org/officeDocument/2006/relationships/hyperlink" Target="https://meteor-uat.aihw.gov.au/content/270086" TargetMode="External" Id="R17e8e2dec75f408d" /><Relationship Type="http://schemas.openxmlformats.org/officeDocument/2006/relationships/hyperlink" Target="https://meteor-uat.aihw.gov.au/RegistrationAuthority/14" TargetMode="External" Id="Ra9ba49d73a444587" /><Relationship Type="http://schemas.openxmlformats.org/officeDocument/2006/relationships/hyperlink" Target="https://meteor-uat.aihw.gov.au/RegistrationAuthority/10" TargetMode="External" Id="R924fe0d0fe074bb3" /><Relationship Type="http://schemas.openxmlformats.org/officeDocument/2006/relationships/hyperlink" Target="https://meteor-uat.aihw.gov.au/content/270085" TargetMode="External" Id="Racfd66e635f8429b" /><Relationship Type="http://schemas.openxmlformats.org/officeDocument/2006/relationships/hyperlink" Target="https://meteor-uat.aihw.gov.au/RegistrationAuthority/14" TargetMode="External" Id="Rca126ad5f125421b" /><Relationship Type="http://schemas.openxmlformats.org/officeDocument/2006/relationships/hyperlink" Target="https://meteor-uat.aihw.gov.au/content/270087" TargetMode="External" Id="Rc81917c0e618412c" /><Relationship Type="http://schemas.openxmlformats.org/officeDocument/2006/relationships/hyperlink" Target="https://meteor-uat.aihw.gov.au/RegistrationAuthority/14" TargetMode="External" Id="R7e21e7ca756f4cdb" /><Relationship Type="http://schemas.openxmlformats.org/officeDocument/2006/relationships/hyperlink" Target="https://meteor-uat.aihw.gov.au/content/273863" TargetMode="External" Id="R7e783d2db1544503" /><Relationship Type="http://schemas.openxmlformats.org/officeDocument/2006/relationships/hyperlink" Target="https://meteor-uat.aihw.gov.au/content/372930" TargetMode="External" Id="R68604eba0cee4720" /><Relationship Type="http://schemas.openxmlformats.org/officeDocument/2006/relationships/hyperlink" Target="https://meteor-uat.aihw.gov.au/RegistrationAuthority/14" TargetMode="External" Id="R62c1aca2e33c46e2" /><Relationship Type="http://schemas.openxmlformats.org/officeDocument/2006/relationships/hyperlink" Target="https://meteor-uat.aihw.gov.au/content/482119" TargetMode="External" Id="R8a4ea13835b54e0c" /><Relationship Type="http://schemas.openxmlformats.org/officeDocument/2006/relationships/hyperlink" Target="https://meteor-uat.aihw.gov.au/RegistrationAuthority/14" TargetMode="External" Id="R713bb2e5814e42c7" /><Relationship Type="http://schemas.openxmlformats.org/officeDocument/2006/relationships/hyperlink" Target="https://meteor-uat.aihw.gov.au/content/523140" TargetMode="External" Id="R2bdab316825849c5" /><Relationship Type="http://schemas.openxmlformats.org/officeDocument/2006/relationships/hyperlink" Target="https://meteor-uat.aihw.gov.au/RegistrationAuthority/14" TargetMode="External" Id="Rebf6fefcec2a4e2c" /><Relationship Type="http://schemas.openxmlformats.org/officeDocument/2006/relationships/hyperlink" Target="https://meteor-uat.aihw.gov.au/content/273052" TargetMode="External" Id="Rba7dcba65cbc47ef" /><Relationship Type="http://schemas.openxmlformats.org/officeDocument/2006/relationships/hyperlink" Target="https://meteor-uat.aihw.gov.au/RegistrationAuthority/14" TargetMode="External" Id="Rdf8b810acea94615" /><Relationship Type="http://schemas.openxmlformats.org/officeDocument/2006/relationships/hyperlink" Target="https://meteor-uat.aihw.gov.au/content/348289" TargetMode="External" Id="R39ce7d43628544e9" /><Relationship Type="http://schemas.openxmlformats.org/officeDocument/2006/relationships/hyperlink" Target="https://meteor-uat.aihw.gov.au/RegistrationAuthority/14" TargetMode="External" Id="R1f59deccb67d4eb3" /><Relationship Type="http://schemas.openxmlformats.org/officeDocument/2006/relationships/hyperlink" Target="https://meteor-uat.aihw.gov.au/content/353668" TargetMode="External" Id="R09854b45aed940fb" /><Relationship Type="http://schemas.openxmlformats.org/officeDocument/2006/relationships/hyperlink" Target="https://meteor-uat.aihw.gov.au/RegistrationAuthority/14" TargetMode="External" Id="R1ece01a9427347ea" /><Relationship Type="http://schemas.openxmlformats.org/officeDocument/2006/relationships/hyperlink" Target="https://meteor-uat.aihw.gov.au/content/374213" TargetMode="External" Id="Rf84fa3d42ad34643" /><Relationship Type="http://schemas.openxmlformats.org/officeDocument/2006/relationships/hyperlink" Target="https://meteor-uat.aihw.gov.au/RegistrationAuthority/14" TargetMode="External" Id="Rf0e1b32843d94a27" /><Relationship Type="http://schemas.openxmlformats.org/officeDocument/2006/relationships/hyperlink" Target="https://meteor-uat.aihw.gov.au/content/470731" TargetMode="External" Id="Ra210b72cd30c4860" /><Relationship Type="http://schemas.openxmlformats.org/officeDocument/2006/relationships/hyperlink" Target="https://meteor-uat.aihw.gov.au/RegistrationAuthority/14" TargetMode="External" Id="R4a02344fc6d04c11" /><Relationship Type="http://schemas.openxmlformats.org/officeDocument/2006/relationships/hyperlink" Target="https://meteor-uat.aihw.gov.au/content/697668" TargetMode="External" Id="R6f2fa514902d467e" /><Relationship Type="http://schemas.openxmlformats.org/officeDocument/2006/relationships/hyperlink" Target="https://meteor-uat.aihw.gov.au/RegistrationAuthority/14" TargetMode="External" Id="R49c4f2222697428f" /><Relationship Type="http://schemas.openxmlformats.org/officeDocument/2006/relationships/hyperlink" Target="https://meteor-uat.aihw.gov.au/content/273054" TargetMode="External" Id="R213212a18915497a" /><Relationship Type="http://schemas.openxmlformats.org/officeDocument/2006/relationships/hyperlink" Target="https://meteor-uat.aihw.gov.au/RegistrationAuthority/14" TargetMode="External" Id="Rb8119ea058aa4fa2" /><Relationship Type="http://schemas.openxmlformats.org/officeDocument/2006/relationships/hyperlink" Target="https://meteor-uat.aihw.gov.au/content/304865" TargetMode="External" Id="R6701e9d18d544f62" /><Relationship Type="http://schemas.openxmlformats.org/officeDocument/2006/relationships/hyperlink" Target="https://meteor-uat.aihw.gov.au/RegistrationAuthority/14" TargetMode="External" Id="Reae0673486f54737" /><Relationship Type="http://schemas.openxmlformats.org/officeDocument/2006/relationships/hyperlink" Target="https://meteor-uat.aihw.gov.au/content/510127" TargetMode="External" Id="Ra496b98e989d4649" /><Relationship Type="http://schemas.openxmlformats.org/officeDocument/2006/relationships/hyperlink" Target="https://meteor-uat.aihw.gov.au/RegistrationAuthority/14" TargetMode="External" Id="R9b7aa8cdb5e4495c" /><Relationship Type="http://schemas.openxmlformats.org/officeDocument/2006/relationships/hyperlink" Target="https://meteor-uat.aihw.gov.au/content/581388" TargetMode="External" Id="R987d8eb33e5a4e9c" /><Relationship Type="http://schemas.openxmlformats.org/officeDocument/2006/relationships/hyperlink" Target="https://meteor-uat.aihw.gov.au/RegistrationAuthority/14" TargetMode="External" Id="Rdebd9b5be92e42cb" /><Relationship Type="http://schemas.openxmlformats.org/officeDocument/2006/relationships/hyperlink" Target="https://meteor-uat.aihw.gov.au/content/605250" TargetMode="External" Id="R78e55975fc73436e" /><Relationship Type="http://schemas.openxmlformats.org/officeDocument/2006/relationships/hyperlink" Target="https://meteor-uat.aihw.gov.au/RegistrationAuthority/14" TargetMode="External" Id="R24913ff187424ced" /><Relationship Type="http://schemas.openxmlformats.org/officeDocument/2006/relationships/hyperlink" Target="https://meteor-uat.aihw.gov.au/content/654975" TargetMode="External" Id="R10e0587cf97442f0" /><Relationship Type="http://schemas.openxmlformats.org/officeDocument/2006/relationships/hyperlink" Target="https://meteor-uat.aihw.gov.au/RegistrationAuthority/14" TargetMode="External" Id="R4aa0e8d0303c4a7e" /><Relationship Type="http://schemas.openxmlformats.org/officeDocument/2006/relationships/hyperlink" Target="https://meteor-uat.aihw.gov.au/content/668809" TargetMode="External" Id="R2d5422d0508d432f" /><Relationship Type="http://schemas.openxmlformats.org/officeDocument/2006/relationships/hyperlink" Target="https://meteor-uat.aihw.gov.au/RegistrationAuthority/14" TargetMode="External" Id="R6320df04ac5f4103" /><Relationship Type="http://schemas.openxmlformats.org/officeDocument/2006/relationships/hyperlink" Target="https://meteor-uat.aihw.gov.au/content/694991" TargetMode="External" Id="R40f14dc589be40fd" /><Relationship Type="http://schemas.openxmlformats.org/officeDocument/2006/relationships/hyperlink" Target="https://meteor-uat.aihw.gov.au/RegistrationAuthority/14" TargetMode="External" Id="Reb40886a62cc40f3" /><Relationship Type="http://schemas.openxmlformats.org/officeDocument/2006/relationships/hyperlink" Target="https://meteor-uat.aihw.gov.au/content/270365" TargetMode="External" Id="Ra73b04d1533c46eb" /><Relationship Type="http://schemas.openxmlformats.org/officeDocument/2006/relationships/hyperlink" Target="https://meteor-uat.aihw.gov.au/content/716067" TargetMode="External" Id="R31eaca8fc2a74d50" /><Relationship Type="http://schemas.openxmlformats.org/officeDocument/2006/relationships/hyperlink" Target="https://meteor-uat.aihw.gov.au/RegistrationAuthority/14" TargetMode="External" Id="R7314461372bd4e11" /><Relationship Type="http://schemas.openxmlformats.org/officeDocument/2006/relationships/hyperlink" Target="https://meteor-uat.aihw.gov.au/content/270365" TargetMode="External" Id="Raededb69a76a4b0c" /><Relationship Type="http://schemas.openxmlformats.org/officeDocument/2006/relationships/hyperlink" Target="https://meteor-uat.aihw.gov.au/content/727295" TargetMode="External" Id="R917744a993774a22" /><Relationship Type="http://schemas.openxmlformats.org/officeDocument/2006/relationships/hyperlink" Target="https://meteor-uat.aihw.gov.au/RegistrationAuthority/14" TargetMode="External" Id="Rbc0c3eb4b2734c3d" /><Relationship Type="http://schemas.openxmlformats.org/officeDocument/2006/relationships/hyperlink" Target="https://meteor-uat.aihw.gov.au/content/270365" TargetMode="External" Id="R9ddcb4ba4f5e4428" /><Relationship Type="http://schemas.openxmlformats.org/officeDocument/2006/relationships/hyperlink" Target="https://meteor-uat.aihw.gov.au/content/742055" TargetMode="External" Id="R9669e231920e43a5" /><Relationship Type="http://schemas.openxmlformats.org/officeDocument/2006/relationships/hyperlink" Target="https://meteor-uat.aihw.gov.au/RegistrationAuthority/14" TargetMode="External" Id="R30278dd6758d470d" /><Relationship Type="http://schemas.openxmlformats.org/officeDocument/2006/relationships/hyperlink" Target="https://meteor-uat.aihw.gov.au/content/270365" TargetMode="External" Id="R0549afcf5bed42b6" /></Relationships>
</file>

<file path=word/_rels/header1.xml.rels>&#65279;<?xml version="1.0" encoding="utf-8"?><Relationships xmlns="http://schemas.openxmlformats.org/package/2006/relationships"><Relationship Type="http://schemas.openxmlformats.org/officeDocument/2006/relationships/image" Target="/media/image.png" Id="R346cf1a28a3941c7" /></Relationships>
</file>