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6300b037e48cf" /></Relationships>
</file>

<file path=word/document.xml><?xml version="1.0" encoding="utf-8"?>
<w:document xmlns:r="http://schemas.openxmlformats.org/officeDocument/2006/relationships" xmlns:w="http://schemas.openxmlformats.org/wordprocessingml/2006/main">
  <w:body>
    <w:p>
      <w:pPr>
        <w:pStyle w:val="Title"/>
      </w:pPr>
      <w:r>
        <w:t>Person—weight (measured), total kilograms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kilograms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kilograms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5997bdf5a4d4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kilograms.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bf6377f7414801">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35313b539404c">
              <w:r>
                <w:rPr>
                  <w:rStyle w:val="Hyperlink"/>
                  <w:color w:val="244061"/>
                </w:rPr>
                <w:t xml:space="preserve">Health!</w:t>
              </w:r>
            </w:hyperlink>
            <w:r>
              <w:rPr>
                <w:rStyle w:val="row-content"/>
                <w:color w:val="244061"/>
              </w:rPr>
              <w:t xml:space="preserve">, Standard 01/03/2005</w:t>
            </w:r>
          </w:p>
          <w:p>
            <w:pPr>
              <w:spacing w:before="0" w:after="0"/>
            </w:pPr>
            <w:hyperlink w:history="true" r:id="R6795748afc9b4b10">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 status and health status. Low pre-pregnancy weight is an indicator of poorer gestational outcome in women (Kramer 1988). Low weight is also associated with osteoporosis. In general, change in weight is of interest in adults because it is an indicator of changing health status. Self reported or parentally reported weight for children and adolescents should be used cautiously if at all. It enables the calculation of body mass index which requires the measurement of height and weight (body mass)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7583b281cc41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318adcd8c54e8e">
              <w:r>
                <w:rPr>
                  <w:rStyle w:val="Hyperlink"/>
                </w:rPr>
                <w:t xml:space="preserve">Weight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76bc3fc4934d1b">
              <w:r>
                <w:rPr>
                  <w:rStyle w:val="Hyperlink"/>
                </w:rPr>
                <w:t xml:space="preserve">Total kilograms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008cd7eac4bc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kilograms.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collected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continuous variable measured to the nearest 0.1 kg.</w:t>
            </w:r>
          </w:p>
          <w:p>
            <w:pPr>
              <w:spacing w:after="160"/>
            </w:pPr>
            <w:r>
              <w:rPr>
                <w:rStyle w:val="row-content-rich-text"/>
              </w:rPr>
              <w:t xml:space="preserve">CODE 999.9     Not collected</w:t>
            </w:r>
          </w:p>
          <w:p>
            <w:pPr/>
            <w:r>
              <w:rPr>
                <w:rStyle w:val="row-content-rich-text"/>
              </w:rPr>
              <w:t xml:space="preserve">Use this code if measured weight is not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ensure consistency in measurement, the measurement protocol described under Collection methods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WHO Expert Committee (1995).</w:t>
            </w:r>
          </w:p>
          <w:p>
            <w:pPr>
              <w:spacing w:after="160"/>
            </w:pPr>
            <w:r>
              <w:rPr>
                <w:rStyle w:val="row-content-rich-text"/>
              </w:rPr>
              <w:t xml:space="preserve">Measurement protocol:</w:t>
            </w:r>
          </w:p>
          <w:p>
            <w:pPr>
              <w:spacing w:after="160"/>
            </w:pPr>
            <w:r>
              <w:rPr>
                <w:rStyle w:val="row-content-rich-text"/>
              </w:rPr>
              <w:t xml:space="preserve">Equipment used should be described and reported. Scales should have a resolution of at least 0.1kg and should have the capacity to weigh up to at least 200 kg. Measurement intervals and labels should be clearly readable under all conditions of use of the instrument. Scales should be capable of being calibrated across the entire range of measurements. Precision error should be no more than 0.1kg. Scales should be calibrated on each day of use. Manufacturers' guidelines should be followed with regard to the transportation of the scales.</w:t>
            </w:r>
          </w:p>
          <w:p>
            <w:pPr>
              <w:spacing w:after="160"/>
            </w:pPr>
            <w:r>
              <w:rPr>
                <w:rStyle w:val="row-content-rich-text"/>
              </w:rPr>
              <w:t xml:space="preserve">Adults and children who can stand:</w:t>
            </w:r>
          </w:p>
          <w:p>
            <w:pPr>
              <w:spacing w:after="160"/>
            </w:pPr>
            <w:r>
              <w:rPr>
                <w:rStyle w:val="row-content-rich-text"/>
              </w:rPr>
              <w:t xml:space="preserve">The subject stands over the centre of the weighing instrument, with the body weight evenly distributed between both feet.</w:t>
            </w:r>
          </w:p>
          <w:p>
            <w:pPr>
              <w:spacing w:after="160"/>
            </w:pPr>
            <w:r>
              <w:rPr>
                <w:rStyle w:val="row-content-rich-text"/>
              </w:rPr>
              <w:t xml:space="preserve">Heavy jewellery should be removed and pockets emptied. Light indoor clothing can be worn, excluding shoes, belts, and sweater. Any variations from light indoor clothing (e.g. heavy clothing, such as kaftans or coats worn because of cultural practices) should be noted on the data collection form. Adjustments for non-standard clothing (i.e. other than light indoor clothing) should only be made in the data checking/cleaning stage prior to data analysis.</w:t>
            </w:r>
          </w:p>
          <w:p>
            <w:pPr>
              <w:spacing w:after="160"/>
            </w:pPr>
            <w:r>
              <w:rPr>
                <w:rStyle w:val="row-content-rich-text"/>
              </w:rPr>
              <w:t xml:space="preserve">If the subject has had one or more limbs amputated, record this on the data collection form and weigh them as they are. If they are wearing an artificial limb, record this on the data collection form but do not ask them to remove it. Similarly, if they are not wearing the limb, record this but do not ask them to put it on.</w:t>
            </w:r>
          </w:p>
          <w:p>
            <w:pPr>
              <w:spacing w:after="160"/>
            </w:pPr>
            <w:r>
              <w:rPr>
                <w:rStyle w:val="row-content-rich-text"/>
              </w:rPr>
              <w:t xml:space="preserve">The measurement is recorded to the nearest 0.1 kg. If the scales do not have a digital readout, take a repeat measurement. If the two measurements disagree by more than 0.5 kg, then take a third measurement. All raw measurements should be recorded on the data collection form. If practical, it is preferable to enter the raw data into the database as this enables intra-observer and, where relevant, inter-observer errors to be assessed. The subject's measured weight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kg. If so, rounding should be to the nearest even digit to reduce systematic over reporting (Armitage and Berry 1994). For example, a mean value of 72.25 kg would be rounded to 72.2 kg, while a mean value of 72.35 kg would be rounded to 72.4 kg.</w:t>
            </w:r>
          </w:p>
          <w:p>
            <w:pPr>
              <w:spacing w:after="160"/>
            </w:pPr>
            <w:r>
              <w:rPr>
                <w:rStyle w:val="row-content-rich-text"/>
              </w:rPr>
              <w:t xml:space="preserve">Infants:</w:t>
            </w:r>
          </w:p>
          <w:p>
            <w:pPr>
              <w:spacing w:after="160"/>
            </w:pPr>
            <w:r>
              <w:rPr>
                <w:rStyle w:val="row-content-rich-text"/>
              </w:rPr>
              <w:t xml:space="preserve">Birth weight and gender should be recorded with gestational age. During infancy a levelled pan scale with a bean and movable weights or digital scales capable of measuring to two decimal places of a kilogram are acceptable. Birth weight should be determined within 12 hours of birth. The infant, with or without a nappy or diaper is placed on the scales so that the weight is distributed equally about the centre of the pan. When the infant is lying or suspended quietly, weight is recorded to the nearest 10 grams. If the nappy or diaper is worn, its weight is subtracted from the observed weight i.e. reference data for infants are based on nude weights.</w:t>
            </w:r>
          </w:p>
          <w:p>
            <w:pPr>
              <w:spacing w:after="160"/>
            </w:pPr>
            <w:r>
              <w:rPr>
                <w:rStyle w:val="row-content-rich-text"/>
              </w:rPr>
              <w:t xml:space="preserve">Validation and quality control measures:</w:t>
            </w:r>
          </w:p>
          <w:p>
            <w:pPr>
              <w:spacing w:after="160"/>
            </w:pPr>
            <w:r>
              <w:rPr>
                <w:rStyle w:val="row-content-rich-text"/>
              </w:rPr>
              <w:t xml:space="preserve">If practical, equipment should be checked daily using one or more objects of known weight in the range to be measured. It is recommended that the scale be calibrated at the extremes and in the mid range of the expected weight of the population being studied.</w:t>
            </w:r>
          </w:p>
          <w:p>
            <w:pPr>
              <w:spacing w:after="160"/>
            </w:pPr>
            <w:r>
              <w:rPr>
                <w:rStyle w:val="row-content-rich-text"/>
              </w:rPr>
              <w:t xml:space="preserve">Within- and, if relevant, between-observer variability should be reported. They can be assessed by the same (within -) or different (between-) observers repeating the measurement of weight, on the same subjects, under standard conditions after a short time interval. The standard deviation of replicate measurements (technical error of measurement) between observers should not exceed 0.5 kg and be less than 0.5 kg within observers.</w:t>
            </w:r>
          </w:p>
          <w:p>
            <w:pPr>
              <w:spacing w:after="160"/>
            </w:pPr>
            <w:r>
              <w:rPr>
                <w:rStyle w:val="row-content-rich-text"/>
              </w:rPr>
              <w:t xml:space="preserve">Extreme values at the lower and upper end of the distribution of measured height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 It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women, children and adolescents, although the range will depend on the population.</w:t>
            </w:r>
          </w:p>
          <w:p>
            <w:pPr>
              <w:spacing w:after="160"/>
            </w:pPr>
            <w:r>
              <w:rPr>
                <w:rStyle w:val="row-content-rich-text"/>
              </w:rPr>
              <w:t xml:space="preserve">Weight &lt; 10 kg</w:t>
            </w:r>
          </w:p>
          <w:p>
            <w:pPr>
              <w:spacing w:after="160"/>
            </w:pPr>
            <w:r>
              <w:rPr>
                <w:rStyle w:val="row-content-rich-text"/>
              </w:rPr>
              <w:t xml:space="preserve">10 kg = Weight &lt;15 kg</w:t>
            </w:r>
          </w:p>
          <w:p>
            <w:pPr>
              <w:spacing w:after="160"/>
            </w:pPr>
            <w:r>
              <w:rPr>
                <w:rStyle w:val="row-content-rich-text"/>
              </w:rPr>
              <w:t xml:space="preserve">15 kg = Weight &lt; 20 kg</w:t>
            </w:r>
          </w:p>
          <w:p>
            <w:pPr>
              <w:spacing w:after="160"/>
            </w:pPr>
            <w:r>
              <w:rPr>
                <w:rStyle w:val="row-content-rich-text"/>
              </w:rPr>
              <w:t xml:space="preserve">... in 5 kg categories</w:t>
            </w:r>
          </w:p>
          <w:p>
            <w:pPr>
              <w:spacing w:after="160"/>
            </w:pPr>
            <w:r>
              <w:rPr>
                <w:rStyle w:val="row-content-rich-text"/>
              </w:rPr>
              <w:t xml:space="preserve">135 kg = Weight &lt; 140 kg</w:t>
            </w:r>
          </w:p>
          <w:p>
            <w:pPr/>
            <w:r>
              <w:rPr>
                <w:rStyle w:val="row-content-rich-text"/>
              </w:rPr>
              <w:t xml:space="preserve">Weight =&gt; 140 kg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The consortium to develop standard methods for the collection and collation of anthropometric data in children as part of the National Food and Nutrition Monitoring and Surveillance Project, funded by the Commonwealth Department of Health and Ageing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Guidelines on the Identification, Evaluation and Treatment of Overweight and Obesity in Adults (US National Heart, Lung and Blood Institute (NHLBI) in cooperation with the National Institute of Diabetes and Digestive and Kidney Diseases).</w:t>
            </w:r>
            <w:r>
              <w:br/>
            </w:r>
            <w:r>
              <w:rPr>
                <w:rStyle w:val="row-content-rich-text"/>
              </w:rPr>
              <w:t xml:space="preserve">Chronic Diseases and Associated Risk Factors in Australia 2001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b6c74b6ff74e9e">
              <w:r>
                <w:rPr>
                  <w:rStyle w:val="Hyperlink"/>
                </w:rPr>
                <w:t xml:space="preserve">Person—weight (measured), total kilograms N[NN].N</w:t>
              </w:r>
            </w:hyperlink>
          </w:p>
          <w:p>
            <w:pPr>
              <w:pStyle w:val="registration-status"/>
              <w:spacing w:before="0" w:after="0"/>
            </w:pPr>
            <w:hyperlink w:history="true" r:id="R112b09b67ccc43db">
              <w:r>
                <w:rPr>
                  <w:rStyle w:val="Hyperlink"/>
                  <w:color w:val="244061"/>
                </w:rPr>
                <w:t xml:space="preserve">Health!</w:t>
              </w:r>
            </w:hyperlink>
            <w:r>
              <w:rPr>
                <w:rStyle w:val="row-content"/>
                <w:color w:val="244061"/>
              </w:rPr>
              <w:t xml:space="preserve">, Standard 12/12/2018</w:t>
            </w:r>
          </w:p>
          <w:p>
            <w:r>
              <w:br/>
            </w:r>
            <w:r>
              <w:rPr>
                <w:rStyle w:val="row-content"/>
              </w:rPr>
              <w:t xml:space="preserve">Is used in the formation of </w:t>
            </w:r>
            <w:hyperlink w:history="true" r:id="Rf01ff3f716124428">
              <w:r>
                <w:rPr>
                  <w:rStyle w:val="Hyperlink"/>
                </w:rPr>
                <w:t xml:space="preserve">Adult—body mass index (measured), ratio NN[N].N[N]</w:t>
              </w:r>
            </w:hyperlink>
          </w:p>
          <w:p>
            <w:pPr>
              <w:pStyle w:val="registration-status"/>
              <w:spacing w:before="0" w:after="0"/>
            </w:pPr>
            <w:hyperlink w:history="true" r:id="R0e9334be2315447f">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29fad805a58942e4">
              <w:r>
                <w:rPr>
                  <w:rStyle w:val="Hyperlink"/>
                </w:rPr>
                <w:t xml:space="preserve">Adult—body mass index (self-reported), ratio NN[N].N[N]</w:t>
              </w:r>
            </w:hyperlink>
          </w:p>
          <w:p>
            <w:pPr>
              <w:pStyle w:val="registration-status"/>
              <w:spacing w:before="0" w:after="0"/>
            </w:pPr>
            <w:hyperlink w:history="true" r:id="R2df860a066fb4bd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b1dcad9095b450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270440a86a134e89">
              <w:r>
                <w:rPr>
                  <w:rStyle w:val="Hyperlink"/>
                </w:rPr>
                <w:t xml:space="preserve">Child—body mass index (measured), ratio NN[N].N[N]</w:t>
              </w:r>
            </w:hyperlink>
          </w:p>
          <w:p>
            <w:pPr>
              <w:pStyle w:val="registration-status"/>
              <w:spacing w:before="0" w:after="0"/>
            </w:pPr>
            <w:hyperlink w:history="true" r:id="R1c9d9923ddbc488c">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85ce443a679146e7">
              <w:r>
                <w:rPr>
                  <w:rStyle w:val="Hyperlink"/>
                </w:rPr>
                <w:t xml:space="preserve">Child—body mass index (self-reported), ratio NN[N].N[N]</w:t>
              </w:r>
            </w:hyperlink>
          </w:p>
          <w:p>
            <w:pPr>
              <w:pStyle w:val="registration-status"/>
              <w:spacing w:before="0" w:after="0"/>
            </w:pPr>
            <w:hyperlink w:history="true" r:id="Rf3b5b9a0eaba44d8">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ee3b97b2bef64b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e3b97b2bef64b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8e181cefd74fd9"/>
                            <a:srcRect/>
                            <a:stretch>
                              <a:fillRect/>
                            </a:stretch>
                          </pic:blipFill>
                          <pic:spPr bwMode="auto">
                            <a:xfrm>
                              <a:off x="0" y="0"/>
                              <a:ext cx="152400" cy="152400"/>
                            </a:xfrm>
                            <a:prstGeom prst="rect">
                              <a:avLst/>
                            </a:prstGeom>
                          </pic:spPr>
                        </pic:pic>
                      </a:graphicData>
                    </a:graphic>
                  </wp:inline>
                </w:drawing>
              </w:r>
              <w:r>
                <w:rPr>
                  <w:rStyle w:val="Hyperlink"/>
                </w:rPr>
                <w:t xml:space="preserve"> Weight - measured, version 2, DE, NHDD, NHIMG, Superseded 01/03/2005.pdf</w:t>
              </w:r>
            </w:hyperlink>
          </w:p>
          <w:p>
            <w:r>
              <w:rPr>
                <w:rStyle w:val="row-content"/>
              </w:rPr>
              <w:t xml:space="preserve"> (29.3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027bd5cb3347f2">
              <w:r>
                <w:rPr>
                  <w:rStyle w:val="Hyperlink"/>
                </w:rPr>
                <w:t xml:space="preserve">Acute coronary syndrome (clinical) DSS</w:t>
              </w:r>
            </w:hyperlink>
          </w:p>
          <w:p>
            <w:pPr>
              <w:pStyle w:val="registration-status"/>
              <w:spacing w:before="0" w:after="0"/>
            </w:pPr>
            <w:hyperlink w:history="true" r:id="Rd68302fbdecc4260">
              <w:r>
                <w:rPr>
                  <w:rStyle w:val="Hyperlink"/>
                  <w:color w:val="244061"/>
                </w:rPr>
                <w:t xml:space="preserve">Health!</w:t>
              </w:r>
            </w:hyperlink>
            <w:r>
              <w:rPr>
                <w:rStyle w:val="row-content"/>
                <w:color w:val="244061"/>
              </w:rPr>
              <w:t xml:space="preserve">, Superseded 01/09/2012</w:t>
            </w:r>
          </w:p>
          <w:p>
            <w:r>
              <w:br/>
            </w:r>
            <w:hyperlink w:history="true" r:id="Rafacc39d331d4ca2">
              <w:r>
                <w:rPr>
                  <w:rStyle w:val="Hyperlink"/>
                </w:rPr>
                <w:t xml:space="preserve">Acute coronary syndrome (clinical) DSS</w:t>
              </w:r>
            </w:hyperlink>
          </w:p>
          <w:p>
            <w:pPr>
              <w:pStyle w:val="registration-status"/>
              <w:spacing w:before="0" w:after="0"/>
            </w:pPr>
            <w:hyperlink w:history="true" r:id="R6a3152e0c1274da2">
              <w:r>
                <w:rPr>
                  <w:rStyle w:val="Hyperlink"/>
                  <w:color w:val="244061"/>
                </w:rPr>
                <w:t xml:space="preserve">Health!</w:t>
              </w:r>
            </w:hyperlink>
            <w:r>
              <w:rPr>
                <w:rStyle w:val="row-content"/>
                <w:color w:val="244061"/>
              </w:rPr>
              <w:t xml:space="preserve">, Superseded 02/05/2013</w:t>
            </w:r>
          </w:p>
          <w:p>
            <w:r>
              <w:br/>
            </w:r>
            <w:hyperlink w:history="true" r:id="Ra6845c5ca7674030">
              <w:r>
                <w:rPr>
                  <w:rStyle w:val="Hyperlink"/>
                </w:rPr>
                <w:t xml:space="preserve">Acute coronary syndrome (clinical) NBPDS 2013-</w:t>
              </w:r>
            </w:hyperlink>
          </w:p>
          <w:p>
            <w:pPr>
              <w:pStyle w:val="registration-status"/>
              <w:spacing w:before="0" w:after="0"/>
            </w:pPr>
            <w:hyperlink w:history="true" r:id="R86067ade5722412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b89b832d0c85444b">
              <w:r>
                <w:rPr>
                  <w:rStyle w:val="Hyperlink"/>
                </w:rPr>
                <w:t xml:space="preserve">Cardiovascular disease (clinical) DSS</w:t>
              </w:r>
            </w:hyperlink>
          </w:p>
          <w:p>
            <w:pPr>
              <w:pStyle w:val="registration-status"/>
              <w:spacing w:before="0" w:after="0"/>
            </w:pPr>
            <w:hyperlink w:history="true" r:id="R033a1cb5723140bf">
              <w:r>
                <w:rPr>
                  <w:rStyle w:val="Hyperlink"/>
                  <w:color w:val="244061"/>
                </w:rPr>
                <w:t xml:space="preserve">Health!</w:t>
              </w:r>
            </w:hyperlink>
            <w:r>
              <w:rPr>
                <w:rStyle w:val="row-content"/>
                <w:color w:val="244061"/>
              </w:rPr>
              <w:t xml:space="preserve">, Superseded 15/02/2006</w:t>
            </w:r>
          </w:p>
          <w:p>
            <w:r>
              <w:br/>
            </w:r>
            <w:hyperlink w:history="true" r:id="R821bfb5069b5478e">
              <w:r>
                <w:rPr>
                  <w:rStyle w:val="Hyperlink"/>
                </w:rPr>
                <w:t xml:space="preserve">Cardiovascular disease (clinical) DSS</w:t>
              </w:r>
            </w:hyperlink>
          </w:p>
          <w:p>
            <w:pPr>
              <w:pStyle w:val="registration-status"/>
              <w:spacing w:before="0" w:after="0"/>
            </w:pPr>
            <w:hyperlink w:history="true" r:id="R25b3734030c24f6c">
              <w:r>
                <w:rPr>
                  <w:rStyle w:val="Hyperlink"/>
                  <w:color w:val="244061"/>
                </w:rPr>
                <w:t xml:space="preserve">Health!</w:t>
              </w:r>
            </w:hyperlink>
            <w:r>
              <w:rPr>
                <w:rStyle w:val="row-content"/>
                <w:color w:val="244061"/>
              </w:rPr>
              <w:t xml:space="preserve">, Superseded 04/07/2007</w:t>
            </w:r>
          </w:p>
          <w:p>
            <w:r>
              <w:br/>
            </w:r>
            <w:hyperlink w:history="true" r:id="Rb5a1791190e14af5">
              <w:r>
                <w:rPr>
                  <w:rStyle w:val="Hyperlink"/>
                </w:rPr>
                <w:t xml:space="preserve">Cardiovascular disease (clinical) DSS</w:t>
              </w:r>
            </w:hyperlink>
          </w:p>
          <w:p>
            <w:pPr>
              <w:pStyle w:val="registration-status"/>
              <w:spacing w:before="0" w:after="0"/>
            </w:pPr>
            <w:hyperlink w:history="true" r:id="R395dcf23f9324fff">
              <w:r>
                <w:rPr>
                  <w:rStyle w:val="Hyperlink"/>
                  <w:color w:val="244061"/>
                </w:rPr>
                <w:t xml:space="preserve">Health!</w:t>
              </w:r>
            </w:hyperlink>
            <w:r>
              <w:rPr>
                <w:rStyle w:val="row-content"/>
                <w:color w:val="244061"/>
              </w:rPr>
              <w:t xml:space="preserve">, Superseded 22/12/2009</w:t>
            </w:r>
          </w:p>
          <w:p>
            <w:r>
              <w:br/>
            </w:r>
            <w:hyperlink w:history="true" r:id="R1823e45680654367">
              <w:r>
                <w:rPr>
                  <w:rStyle w:val="Hyperlink"/>
                </w:rPr>
                <w:t xml:space="preserve">Cardiovascular disease (clinical) DSS</w:t>
              </w:r>
            </w:hyperlink>
          </w:p>
          <w:p>
            <w:pPr>
              <w:pStyle w:val="registration-status"/>
              <w:spacing w:before="0" w:after="0"/>
            </w:pPr>
            <w:hyperlink w:history="true" r:id="R5c682e58135f4ace">
              <w:r>
                <w:rPr>
                  <w:rStyle w:val="Hyperlink"/>
                  <w:color w:val="244061"/>
                </w:rPr>
                <w:t xml:space="preserve">Health!</w:t>
              </w:r>
            </w:hyperlink>
            <w:r>
              <w:rPr>
                <w:rStyle w:val="row-content"/>
                <w:color w:val="244061"/>
              </w:rPr>
              <w:t xml:space="preserve">, Superseded 01/09/2012</w:t>
            </w:r>
          </w:p>
          <w:p>
            <w:r>
              <w:br/>
            </w:r>
            <w:hyperlink w:history="true" r:id="Ree2c8c4bc61b4f8b">
              <w:r>
                <w:rPr>
                  <w:rStyle w:val="Hyperlink"/>
                </w:rPr>
                <w:t xml:space="preserve">Cardiovascular disease (clinical) NBPDS</w:t>
              </w:r>
            </w:hyperlink>
          </w:p>
          <w:p>
            <w:pPr>
              <w:pStyle w:val="registration-status"/>
              <w:spacing w:before="0" w:after="0"/>
            </w:pPr>
            <w:hyperlink w:history="true" r:id="R395384c401f34c80">
              <w:r>
                <w:rPr>
                  <w:rStyle w:val="Hyperlink"/>
                  <w:color w:val="244061"/>
                </w:rPr>
                <w:t xml:space="preserve">Health!</w:t>
              </w:r>
            </w:hyperlink>
            <w:r>
              <w:rPr>
                <w:rStyle w:val="row-content"/>
                <w:color w:val="244061"/>
              </w:rPr>
              <w:t xml:space="preserve">, Superseded 17/10/2018</w:t>
            </w:r>
          </w:p>
          <w:p>
            <w:r>
              <w:br/>
            </w:r>
            <w:hyperlink w:history="true" r:id="R99a21de43d2d4710">
              <w:r>
                <w:rPr>
                  <w:rStyle w:val="Hyperlink"/>
                </w:rPr>
                <w:t xml:space="preserve">Cardiovascular disease (clinical) NBPDS </w:t>
              </w:r>
            </w:hyperlink>
          </w:p>
          <w:p>
            <w:pPr>
              <w:pStyle w:val="registration-status"/>
              <w:spacing w:before="0" w:after="0"/>
            </w:pPr>
            <w:hyperlink w:history="true" r:id="R6a4894688be94695">
              <w:r>
                <w:rPr>
                  <w:rStyle w:val="Hyperlink"/>
                  <w:color w:val="244061"/>
                </w:rPr>
                <w:t xml:space="preserve">Health!</w:t>
              </w:r>
            </w:hyperlink>
            <w:r>
              <w:rPr>
                <w:rStyle w:val="row-content"/>
                <w:color w:val="244061"/>
              </w:rPr>
              <w:t xml:space="preserve">, Standard 17/10/2018</w:t>
            </w:r>
          </w:p>
          <w:p>
            <w:r>
              <w:br/>
            </w:r>
            <w:hyperlink w:history="true" r:id="Rb22529bcd8db4a21">
              <w:r>
                <w:rPr>
                  <w:rStyle w:val="Hyperlink"/>
                </w:rPr>
                <w:t xml:space="preserve">Diabetes (clinical) DSS</w:t>
              </w:r>
            </w:hyperlink>
          </w:p>
          <w:p>
            <w:pPr>
              <w:pStyle w:val="registration-status"/>
              <w:spacing w:before="0" w:after="0"/>
            </w:pPr>
            <w:hyperlink w:history="true" r:id="R9a6d40732925441d">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rPr>
                <w:rStyle w:val="row-content"/>
              </w:rP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rPr>
                <w:rStyle w:val="row-content"/>
              </w:rP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rPr>
                <w:rStyle w:val="row-content"/>
              </w:rP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br/>
            </w:r>
            <w:r>
              <w:br/>
            </w:r>
            <w:hyperlink w:history="true" r:id="R62ecc56ddb444c25">
              <w:r>
                <w:rPr>
                  <w:rStyle w:val="Hyperlink"/>
                </w:rPr>
                <w:t xml:space="preserve">Diabetes (clinical) NBPDS</w:t>
              </w:r>
            </w:hyperlink>
          </w:p>
          <w:p>
            <w:pPr>
              <w:pStyle w:val="registration-status"/>
              <w:spacing w:before="0" w:after="0"/>
            </w:pPr>
            <w:hyperlink w:history="true" r:id="Re2da6d82b2c14806">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rPr>
                <w:rStyle w:val="row-content"/>
              </w:rP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rPr>
                <w:rStyle w:val="row-content"/>
              </w:rP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rPr>
                <w:rStyle w:val="row-content"/>
              </w:rP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rPr>
                <w:rStyle w:val="row-content"/>
              </w:rP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p>
            <w:r>
              <w:br/>
            </w:r>
            <w:r>
              <w:br/>
            </w:r>
            <w:hyperlink w:history="true" r:id="R00221287edeb41b5">
              <w:r>
                <w:rPr>
                  <w:rStyle w:val="Hyperlink"/>
                </w:rPr>
                <w:t xml:space="preserve">Perinatal DSS 2014-15</w:t>
              </w:r>
            </w:hyperlink>
          </w:p>
          <w:p>
            <w:pPr>
              <w:pStyle w:val="registration-status"/>
              <w:spacing w:before="0" w:after="0"/>
            </w:pPr>
            <w:hyperlink w:history="true" r:id="Re1ec6efb216e481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556ec894e3204cce">
              <w:r>
                <w:rPr>
                  <w:rStyle w:val="Hyperlink"/>
                </w:rPr>
                <w:t xml:space="preserve">Perinatal DSS 2015-16</w:t>
              </w:r>
            </w:hyperlink>
          </w:p>
          <w:p>
            <w:pPr>
              <w:pStyle w:val="registration-status"/>
              <w:spacing w:before="0" w:after="0"/>
            </w:pPr>
            <w:hyperlink w:history="true" r:id="Rfb5de015ccfb451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229c70a684794659">
              <w:r>
                <w:rPr>
                  <w:rStyle w:val="Hyperlink"/>
                </w:rPr>
                <w:t xml:space="preserve">Perinatal NBEDS 2016-17</w:t>
              </w:r>
            </w:hyperlink>
          </w:p>
          <w:p>
            <w:pPr>
              <w:pStyle w:val="registration-status"/>
              <w:spacing w:before="0" w:after="0"/>
            </w:pPr>
            <w:hyperlink w:history="true" r:id="R7b8a0e7ce8714cd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90d942bbf94540ac">
              <w:r>
                <w:rPr>
                  <w:rStyle w:val="Hyperlink"/>
                </w:rPr>
                <w:t xml:space="preserve">Perinatal NBEDS 2017-18</w:t>
              </w:r>
            </w:hyperlink>
          </w:p>
          <w:p>
            <w:pPr>
              <w:pStyle w:val="registration-status"/>
              <w:spacing w:before="0" w:after="0"/>
            </w:pPr>
            <w:hyperlink w:history="true" r:id="R979b727554084f1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041e55733e0e4fcc">
              <w:r>
                <w:rPr>
                  <w:rStyle w:val="Hyperlink"/>
                </w:rPr>
                <w:t xml:space="preserve">Perinatal NBEDS 2018-19</w:t>
              </w:r>
            </w:hyperlink>
          </w:p>
          <w:p>
            <w:pPr>
              <w:pStyle w:val="registration-status"/>
              <w:spacing w:before="0" w:after="0"/>
            </w:pPr>
            <w:hyperlink w:history="true" r:id="R4075d2dcd25441f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p>
        </w:tc>
      </w:tr>
    </w:tbl>
    <w:p/>
    <w:tbl>
      <w:tblPr>
        <w:tblStyle w:val="TableGrid"/>
        <w:tblW w:w="0" w:type="auto"/>
      </w:tblPr>
    </w:tbl>
    <w:p>
      <w:r>
        <w:br/>
      </w:r>
    </w:p>
    <w:sectPr>
      <w:footerReference xmlns:r="http://schemas.openxmlformats.org/officeDocument/2006/relationships" w:type="default" r:id="R1fe38620adb4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ad2a6a098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38620adb44a4c" /><Relationship Type="http://schemas.openxmlformats.org/officeDocument/2006/relationships/header" Target="/word/header1.xml" Id="Rdb31c12e7fda4222" /><Relationship Type="http://schemas.openxmlformats.org/officeDocument/2006/relationships/settings" Target="/word/settings.xml" Id="Reb1e1bb299314912" /><Relationship Type="http://schemas.openxmlformats.org/officeDocument/2006/relationships/styles" Target="/word/styles.xml" Id="Rf1bd4f1d3d1f425e" /><Relationship Type="http://schemas.openxmlformats.org/officeDocument/2006/relationships/image" Target="/media/image.gif" Id="R5b8e181cefd74fd9" /><Relationship Type="http://schemas.openxmlformats.org/officeDocument/2006/relationships/hyperlink" Target="https://meteor-uat.aihw.gov.au/RegistrationAuthority/14" TargetMode="External" Id="Re425997bdf5a4d4d" /><Relationship Type="http://schemas.openxmlformats.org/officeDocument/2006/relationships/hyperlink" Target="https://meteor-uat.aihw.gov.au/content/269672" TargetMode="External" Id="Rcebf6377f7414801" /><Relationship Type="http://schemas.openxmlformats.org/officeDocument/2006/relationships/hyperlink" Target="https://meteor-uat.aihw.gov.au/RegistrationAuthority/14" TargetMode="External" Id="R1a535313b539404c" /><Relationship Type="http://schemas.openxmlformats.org/officeDocument/2006/relationships/hyperlink" Target="https://meteor-uat.aihw.gov.au/RegistrationAuthority/17" TargetMode="External" Id="R6795748afc9b4b10" /><Relationship Type="http://schemas.openxmlformats.org/officeDocument/2006/relationships/hyperlink" Target="https://meteor-uat.aihw.gov.au/content/268955" TargetMode="External" Id="R2d7583b281cc4173" /><Relationship Type="http://schemas.openxmlformats.org/officeDocument/2006/relationships/hyperlink" Target="https://meteor-uat.aihw.gov.au/content/269197" TargetMode="External" Id="Ra6318adcd8c54e8e" /><Relationship Type="http://schemas.openxmlformats.org/officeDocument/2006/relationships/hyperlink" Target="https://meteor-uat.aihw.gov.au/content/270776" TargetMode="External" Id="R6a76bc3fc4934d1b" /><Relationship Type="http://schemas.openxmlformats.org/officeDocument/2006/relationships/hyperlink" Target="https://meteor-uat.aihw.gov.au/RegistrationAuthority/14" TargetMode="External" Id="Rde3008cd7eac4bc9" /><Relationship Type="http://schemas.openxmlformats.org/officeDocument/2006/relationships/hyperlink" Target="https://meteor-uat.aihw.gov.au/content/702085" TargetMode="External" Id="R90b6c74b6ff74e9e" /><Relationship Type="http://schemas.openxmlformats.org/officeDocument/2006/relationships/hyperlink" Target="https://meteor-uat.aihw.gov.au/RegistrationAuthority/14" TargetMode="External" Id="R112b09b67ccc43db" /><Relationship Type="http://schemas.openxmlformats.org/officeDocument/2006/relationships/hyperlink" Target="https://meteor-uat.aihw.gov.au/content/270084" TargetMode="External" Id="Rf01ff3f716124428" /><Relationship Type="http://schemas.openxmlformats.org/officeDocument/2006/relationships/hyperlink" Target="https://meteor-uat.aihw.gov.au/RegistrationAuthority/14" TargetMode="External" Id="R0e9334be2315447f" /><Relationship Type="http://schemas.openxmlformats.org/officeDocument/2006/relationships/hyperlink" Target="https://meteor-uat.aihw.gov.au/content/270086" TargetMode="External" Id="R29fad805a58942e4" /><Relationship Type="http://schemas.openxmlformats.org/officeDocument/2006/relationships/hyperlink" Target="https://meteor-uat.aihw.gov.au/RegistrationAuthority/14" TargetMode="External" Id="R2df860a066fb4bd3" /><Relationship Type="http://schemas.openxmlformats.org/officeDocument/2006/relationships/hyperlink" Target="https://meteor-uat.aihw.gov.au/RegistrationAuthority/10" TargetMode="External" Id="R5b1dcad9095b450f" /><Relationship Type="http://schemas.openxmlformats.org/officeDocument/2006/relationships/hyperlink" Target="https://meteor-uat.aihw.gov.au/content/270085" TargetMode="External" Id="R270440a86a134e89" /><Relationship Type="http://schemas.openxmlformats.org/officeDocument/2006/relationships/hyperlink" Target="https://meteor-uat.aihw.gov.au/RegistrationAuthority/14" TargetMode="External" Id="R1c9d9923ddbc488c" /><Relationship Type="http://schemas.openxmlformats.org/officeDocument/2006/relationships/hyperlink" Target="https://meteor-uat.aihw.gov.au/content/270087" TargetMode="External" Id="R85ce443a679146e7" /><Relationship Type="http://schemas.openxmlformats.org/officeDocument/2006/relationships/hyperlink" Target="https://meteor-uat.aihw.gov.au/RegistrationAuthority/14" TargetMode="External" Id="Rf3b5b9a0eaba44d8" /><Relationship Type="http://schemas.openxmlformats.org/officeDocument/2006/relationships/hyperlink" Target="https://meteor-uat.aihw.gov.au/content/273662" TargetMode="External" Id="Ree3b97b2bef64b34" /><Relationship Type="http://schemas.openxmlformats.org/officeDocument/2006/relationships/hyperlink" Target="https://meteor-uat.aihw.gov.au/content/372930" TargetMode="External" Id="Rc9027bd5cb3347f2" /><Relationship Type="http://schemas.openxmlformats.org/officeDocument/2006/relationships/hyperlink" Target="https://meteor-uat.aihw.gov.au/RegistrationAuthority/14" TargetMode="External" Id="Rd68302fbdecc4260" /><Relationship Type="http://schemas.openxmlformats.org/officeDocument/2006/relationships/hyperlink" Target="https://meteor-uat.aihw.gov.au/content/482119" TargetMode="External" Id="Rafacc39d331d4ca2" /><Relationship Type="http://schemas.openxmlformats.org/officeDocument/2006/relationships/hyperlink" Target="https://meteor-uat.aihw.gov.au/RegistrationAuthority/14" TargetMode="External" Id="R6a3152e0c1274da2" /><Relationship Type="http://schemas.openxmlformats.org/officeDocument/2006/relationships/hyperlink" Target="https://meteor-uat.aihw.gov.au/content/523140" TargetMode="External" Id="Ra6845c5ca7674030" /><Relationship Type="http://schemas.openxmlformats.org/officeDocument/2006/relationships/hyperlink" Target="https://meteor-uat.aihw.gov.au/RegistrationAuthority/14" TargetMode="External" Id="R86067ade57224124" /><Relationship Type="http://schemas.openxmlformats.org/officeDocument/2006/relationships/hyperlink" Target="https://meteor-uat.aihw.gov.au/content/273052" TargetMode="External" Id="Rb89b832d0c85444b" /><Relationship Type="http://schemas.openxmlformats.org/officeDocument/2006/relationships/hyperlink" Target="https://meteor-uat.aihw.gov.au/RegistrationAuthority/14" TargetMode="External" Id="R033a1cb5723140bf" /><Relationship Type="http://schemas.openxmlformats.org/officeDocument/2006/relationships/hyperlink" Target="https://meteor-uat.aihw.gov.au/content/348289" TargetMode="External" Id="R821bfb5069b5478e" /><Relationship Type="http://schemas.openxmlformats.org/officeDocument/2006/relationships/hyperlink" Target="https://meteor-uat.aihw.gov.au/RegistrationAuthority/14" TargetMode="External" Id="R25b3734030c24f6c" /><Relationship Type="http://schemas.openxmlformats.org/officeDocument/2006/relationships/hyperlink" Target="https://meteor-uat.aihw.gov.au/content/353668" TargetMode="External" Id="Rb5a1791190e14af5" /><Relationship Type="http://schemas.openxmlformats.org/officeDocument/2006/relationships/hyperlink" Target="https://meteor-uat.aihw.gov.au/RegistrationAuthority/14" TargetMode="External" Id="R395dcf23f9324fff" /><Relationship Type="http://schemas.openxmlformats.org/officeDocument/2006/relationships/hyperlink" Target="https://meteor-uat.aihw.gov.au/content/374213" TargetMode="External" Id="R1823e45680654367" /><Relationship Type="http://schemas.openxmlformats.org/officeDocument/2006/relationships/hyperlink" Target="https://meteor-uat.aihw.gov.au/RegistrationAuthority/14" TargetMode="External" Id="R5c682e58135f4ace" /><Relationship Type="http://schemas.openxmlformats.org/officeDocument/2006/relationships/hyperlink" Target="https://meteor-uat.aihw.gov.au/content/470731" TargetMode="External" Id="Ree2c8c4bc61b4f8b" /><Relationship Type="http://schemas.openxmlformats.org/officeDocument/2006/relationships/hyperlink" Target="https://meteor-uat.aihw.gov.au/RegistrationAuthority/14" TargetMode="External" Id="R395384c401f34c80" /><Relationship Type="http://schemas.openxmlformats.org/officeDocument/2006/relationships/hyperlink" Target="https://meteor-uat.aihw.gov.au/content/697668" TargetMode="External" Id="R99a21de43d2d4710" /><Relationship Type="http://schemas.openxmlformats.org/officeDocument/2006/relationships/hyperlink" Target="https://meteor-uat.aihw.gov.au/RegistrationAuthority/14" TargetMode="External" Id="R6a4894688be94695" /><Relationship Type="http://schemas.openxmlformats.org/officeDocument/2006/relationships/hyperlink" Target="https://meteor-uat.aihw.gov.au/content/273054" TargetMode="External" Id="Rb22529bcd8db4a21" /><Relationship Type="http://schemas.openxmlformats.org/officeDocument/2006/relationships/hyperlink" Target="https://meteor-uat.aihw.gov.au/RegistrationAuthority/14" TargetMode="External" Id="R9a6d40732925441d" /><Relationship Type="http://schemas.openxmlformats.org/officeDocument/2006/relationships/hyperlink" Target="https://meteor-uat.aihw.gov.au/content/304865" TargetMode="External" Id="R62ecc56ddb444c25" /><Relationship Type="http://schemas.openxmlformats.org/officeDocument/2006/relationships/hyperlink" Target="https://meteor-uat.aihw.gov.au/RegistrationAuthority/14" TargetMode="External" Id="Re2da6d82b2c14806" /><Relationship Type="http://schemas.openxmlformats.org/officeDocument/2006/relationships/hyperlink" Target="https://meteor-uat.aihw.gov.au/content/510127" TargetMode="External" Id="R00221287edeb41b5" /><Relationship Type="http://schemas.openxmlformats.org/officeDocument/2006/relationships/hyperlink" Target="https://meteor-uat.aihw.gov.au/RegistrationAuthority/14" TargetMode="External" Id="Re1ec6efb216e4818" /><Relationship Type="http://schemas.openxmlformats.org/officeDocument/2006/relationships/hyperlink" Target="https://meteor-uat.aihw.gov.au/content/581388" TargetMode="External" Id="R556ec894e3204cce" /><Relationship Type="http://schemas.openxmlformats.org/officeDocument/2006/relationships/hyperlink" Target="https://meteor-uat.aihw.gov.au/RegistrationAuthority/14" TargetMode="External" Id="Rfb5de015ccfb4519" /><Relationship Type="http://schemas.openxmlformats.org/officeDocument/2006/relationships/hyperlink" Target="https://meteor-uat.aihw.gov.au/content/605250" TargetMode="External" Id="R229c70a684794659" /><Relationship Type="http://schemas.openxmlformats.org/officeDocument/2006/relationships/hyperlink" Target="https://meteor-uat.aihw.gov.au/RegistrationAuthority/14" TargetMode="External" Id="R7b8a0e7ce8714cd0" /><Relationship Type="http://schemas.openxmlformats.org/officeDocument/2006/relationships/hyperlink" Target="https://meteor-uat.aihw.gov.au/content/654975" TargetMode="External" Id="R90d942bbf94540ac" /><Relationship Type="http://schemas.openxmlformats.org/officeDocument/2006/relationships/hyperlink" Target="https://meteor-uat.aihw.gov.au/RegistrationAuthority/14" TargetMode="External" Id="R979b727554084f13" /><Relationship Type="http://schemas.openxmlformats.org/officeDocument/2006/relationships/hyperlink" Target="https://meteor-uat.aihw.gov.au/content/668809" TargetMode="External" Id="R041e55733e0e4fcc" /><Relationship Type="http://schemas.openxmlformats.org/officeDocument/2006/relationships/hyperlink" Target="https://meteor-uat.aihw.gov.au/RegistrationAuthority/14" TargetMode="External" Id="R4075d2dcd25441ff" /></Relationships>
</file>

<file path=word/_rels/header1.xml.rels>&#65279;<?xml version="1.0" encoding="utf-8"?><Relationships xmlns="http://schemas.openxmlformats.org/package/2006/relationships"><Relationship Type="http://schemas.openxmlformats.org/officeDocument/2006/relationships/image" Target="/media/image.png" Id="R87dad2a6a09846ab" /></Relationships>
</file>