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b50cb1390a40e9" /></Relationships>
</file>

<file path=word/document.xml><?xml version="1.0" encoding="utf-8"?>
<w:document xmlns:r="http://schemas.openxmlformats.org/officeDocument/2006/relationships" xmlns:w="http://schemas.openxmlformats.org/wordprocessingml/2006/main">
  <w:body>
    <w:p>
      <w:pPr>
        <w:pStyle w:val="Title"/>
      </w:pPr>
      <w:r>
        <w:t>Episode of care—expected principal source of funding, hospital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care—expected principal source of funding,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63e5630f994b79">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Expected principal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983a659fce4f37">
              <w:r>
                <w:rPr>
                  <w:rStyle w:val="Hyperlink"/>
                </w:rPr>
                <w:t xml:space="preserve">Episode of care—expected principal 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d40396ecd8455e">
              <w:r>
                <w:rPr>
                  <w:rStyle w:val="Hyperlink"/>
                </w:rPr>
                <w:t xml:space="preserve">Hospital 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Australian Health Care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Reciprocal health care agreements (with other countries)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Australian Health Care Agreements</w:t>
            </w:r>
          </w:p>
          <w:p>
            <w:pPr>
              <w:spacing w:after="160"/>
            </w:pPr>
            <w:r>
              <w:rPr>
                <w:rStyle w:val="row-content-rich-text"/>
              </w:rPr>
              <w:t xml:space="preserve">CODE 11     Reciprocal health care agreements (with other countries)</w:t>
            </w:r>
          </w:p>
          <w:p>
            <w:pPr>
              <w:spacing w:after="160"/>
            </w:pPr>
            <w:r>
              <w:rPr>
                <w:rStyle w:val="row-content-rich-text"/>
              </w:rPr>
              <w:t xml:space="preserve">Australian Health Care Agreements (code 01) should be recorded as the funding source for admitted patients who elect to be treated as public patients. However, overseas visitors who are covered by a reciprocal health care agreement and elect to be treated as public patients (as detailed at </w:t>
            </w:r>
            <w:hyperlink w:history="true" r:id="R0cce0152a5b54c0a">
              <w:r>
                <w:rPr>
                  <w:rStyle w:val="Hyperlink"/>
                </w:rPr>
                <w:t xml:space="preserve">http://www.health.gov.au/haf/docs/visthlth/2000hlth.htm#rhca</w:t>
              </w:r>
            </w:hyperlink>
            <w:r>
              <w:rPr>
                <w:rStyle w:val="row-content-rich-text"/>
              </w:rPr>
              <w:t xml:space="preserve">) should be recorded as Reciprocal health care agreement (code 11).</w:t>
            </w:r>
          </w:p>
          <w:p>
            <w:pPr>
              <w:spacing w:after="160"/>
            </w:pPr>
            <w:r>
              <w:rPr>
                <w:rStyle w:val="row-content-rich-text"/>
              </w:rPr>
              <w:t xml:space="preserve">CODE 03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07     Department of Veterans' Affairs</w:t>
            </w:r>
          </w:p>
          <w:p>
            <w:pPr>
              <w:spacing w:after="160"/>
            </w:pPr>
            <w:r>
              <w:rPr>
                <w:rStyle w:val="row-content-rich-text"/>
              </w:rPr>
              <w:t xml:space="preserve">This code should be used for Department of Veterans' Affairs patients (as defined in the metadata item Treatment funding eligibility status (Department of Veterans Affairs).</w:t>
            </w:r>
          </w:p>
          <w:p>
            <w:pPr>
              <w:spacing w:after="160"/>
            </w:pPr>
            <w:r>
              <w:rPr>
                <w:rStyle w:val="row-content-rich-text"/>
              </w:rPr>
              <w:t xml:space="preserve">Compensable patients (as defined in the metadata item Compensable status, should be recorded as Worker's compensation (code 04), Motor vehicle third party personal claim (code 05) or Other compensation (code 06), as appropriate.</w:t>
            </w:r>
          </w:p>
          <w:p>
            <w:pPr>
              <w:spacing w:after="160"/>
            </w:pPr>
            <w:r>
              <w:rPr>
                <w:rStyle w:val="row-content-rich-text"/>
              </w:rPr>
              <w:t xml:space="preserve">CODE 12     Other</w:t>
            </w:r>
          </w:p>
          <w:p>
            <w:pPr/>
            <w:r>
              <w:rPr>
                <w:rStyle w:val="row-content-rich-text"/>
              </w:rPr>
              <w:t xml:space="preserve">This code should be used for overseas visitors for whom travel insurance is the major funding source.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major funding source should be recorded if there is more than one source of funding. The final payment class recorded by the hospital should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e39c6a9b0140c4">
              <w:r>
                <w:rPr>
                  <w:rStyle w:val="Hyperlink"/>
                </w:rPr>
                <w:t xml:space="preserve">Episode of care—principal source of funding, hospital code NN</w:t>
              </w:r>
            </w:hyperlink>
          </w:p>
          <w:p>
            <w:pPr>
              <w:pStyle w:val="registration-status"/>
              <w:spacing w:before="0" w:after="0"/>
            </w:pPr>
            <w:hyperlink w:history="true" r:id="R895218fb8a9a4944">
              <w:r>
                <w:rPr>
                  <w:rStyle w:val="Hyperlink"/>
                  <w:color w:val="244061"/>
                </w:rPr>
                <w:t xml:space="preserve">Health!</w:t>
              </w:r>
            </w:hyperlink>
            <w:r>
              <w:rPr>
                <w:rStyle w:val="row-content"/>
                <w:color w:val="244061"/>
              </w:rPr>
              <w:t xml:space="preserve">, Superseded 11/04/2012</w:t>
            </w:r>
          </w:p>
          <w:p>
            <w:r>
              <w:br/>
            </w:r>
            <w:r>
              <w:rPr>
                <w:rStyle w:val="row-content"/>
              </w:rPr>
              <w:t xml:space="preserve">Is re-engineered from </w:t>
            </w:r>
            <w:hyperlink w:history="true" r:id="R0ed8b6ec9f314e43">
              <w:r>
                <w:drawing>
                  <wp:inline xmlns:wp="http://schemas.openxmlformats.org/drawingml/2006/wordprocessingDrawing" distT="0" distB="0" distL="0" distR="0">
                    <wp:extent cx="152400" cy="152400"/>
                    <wp:effectExtent l="19050" t="0" r="0" b="0"/>
                    <wp:docPr id="2" name="Picture 2" descr="">
                      <a:hlinkClick xmlns:a="http://schemas.openxmlformats.org/drawingml/2006/main" r:id="R0ed8b6ec9f314e4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6bed9b924a44ad8"/>
                            <a:srcRect/>
                            <a:stretch>
                              <a:fillRect/>
                            </a:stretch>
                          </pic:blipFill>
                          <pic:spPr bwMode="auto">
                            <a:xfrm>
                              <a:off x="0" y="0"/>
                              <a:ext cx="152400" cy="152400"/>
                            </a:xfrm>
                            <a:prstGeom prst="rect">
                              <a:avLst/>
                            </a:prstGeom>
                          </pic:spPr>
                        </pic:pic>
                      </a:graphicData>
                    </a:graphic>
                  </wp:inline>
                </w:drawing>
              </w:r>
              <w:r>
                <w:rPr>
                  <w:rStyle w:val="Hyperlink"/>
                </w:rPr>
                <w:t xml:space="preserve"> Funding source for hospital patient, version 1, DE, NHDD, NHIMG, Superseded 01/03/2005.pdf</w:t>
              </w:r>
            </w:hyperlink>
          </w:p>
          <w:p>
            <w:r>
              <w:rPr>
                <w:rStyle w:val="row-content"/>
              </w:rPr>
              <w:t xml:space="preserve"> (17.1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43324138ed4f6a">
              <w:r>
                <w:rPr>
                  <w:rStyle w:val="Hyperlink"/>
                </w:rPr>
                <w:t xml:space="preserve">Admitted patient care NMDS</w:t>
              </w:r>
            </w:hyperlink>
          </w:p>
          <w:p>
            <w:pPr>
              <w:pStyle w:val="registration-status"/>
              <w:spacing w:before="0" w:after="0"/>
            </w:pPr>
            <w:hyperlink w:history="true" r:id="R945f0394dbcb4a5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f01ea2c72954536">
              <w:r>
                <w:rPr>
                  <w:rStyle w:val="Hyperlink"/>
                </w:rPr>
                <w:t xml:space="preserve">Admitted patient care NMDS 2006-07</w:t>
              </w:r>
            </w:hyperlink>
          </w:p>
          <w:p>
            <w:pPr>
              <w:pStyle w:val="registration-status"/>
              <w:spacing w:before="0" w:after="0"/>
            </w:pPr>
            <w:hyperlink w:history="true" r:id="R31301cdbf7cb4f1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8c2f35a3a9e43fe">
              <w:r>
                <w:rPr>
                  <w:rStyle w:val="Hyperlink"/>
                </w:rPr>
                <w:t xml:space="preserve">Admitted patient palliative care NMDS</w:t>
              </w:r>
            </w:hyperlink>
          </w:p>
          <w:p>
            <w:pPr>
              <w:pStyle w:val="registration-status"/>
              <w:spacing w:before="0" w:after="0"/>
            </w:pPr>
            <w:hyperlink w:history="true" r:id="R326a25513939485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5ca14d214fc4d50">
              <w:r>
                <w:rPr>
                  <w:rStyle w:val="Hyperlink"/>
                </w:rPr>
                <w:t xml:space="preserve">Admitted patient palliative care NMDS 2006-07 </w:t>
              </w:r>
            </w:hyperlink>
          </w:p>
          <w:p>
            <w:pPr>
              <w:pStyle w:val="registration-status"/>
              <w:spacing w:before="0" w:after="0"/>
            </w:pPr>
            <w:hyperlink w:history="true" r:id="Rf1bc6cc0d19142e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p>
          <w:p>
            <w:r>
              <w:rPr>
                <w:rStyle w:val="row-content"/>
                <w:b/>
                <w:i/>
              </w:rPr>
              <w:t xml:space="preserve">Implementation end date: </w:t>
            </w:r>
            <w:r>
              <w:rPr>
                <w:rStyle w:val="row-content"/>
              </w:rPr>
              <w:t xml:space="preserve">30/06/2007</w:t>
            </w:r>
            <w:r>
              <w:br/>
            </w:r>
            <w:r>
              <w:br/>
            </w:r>
          </w:p>
        </w:tc>
      </w:tr>
    </w:tbl>
    <w:p/>
    <w:tbl>
      <w:tblPr>
        <w:tblStyle w:val="TableGrid"/>
        <w:tblW w:w="0" w:type="auto"/>
      </w:tblPr>
    </w:tbl>
    <w:p>
      <w:r>
        <w:br/>
      </w:r>
    </w:p>
    <w:sectPr>
      <w:footerReference xmlns:r="http://schemas.openxmlformats.org/officeDocument/2006/relationships" w:type="default" r:id="Rd4dfa363e26a4a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65d486412347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dfa363e26a4a43" /><Relationship Type="http://schemas.openxmlformats.org/officeDocument/2006/relationships/header" Target="/word/header1.xml" Id="R915aef8cb60d4649" /><Relationship Type="http://schemas.openxmlformats.org/officeDocument/2006/relationships/settings" Target="/word/settings.xml" Id="R857f189869e74737" /><Relationship Type="http://schemas.openxmlformats.org/officeDocument/2006/relationships/styles" Target="/word/styles.xml" Id="Ra472bcda6ea44aaf" /><Relationship Type="http://schemas.openxmlformats.org/officeDocument/2006/relationships/image" Target="/media/image.gif" Id="R36bed9b924a44ad8" /><Relationship Type="http://schemas.openxmlformats.org/officeDocument/2006/relationships/hyperlink" Target="https://meteor-uat.aihw.gov.au/RegistrationAuthority/14" TargetMode="External" Id="Rd663e5630f994b79" /><Relationship Type="http://schemas.openxmlformats.org/officeDocument/2006/relationships/hyperlink" Target="https://meteor-uat.aihw.gov.au/content/269398" TargetMode="External" Id="R97983a659fce4f37" /><Relationship Type="http://schemas.openxmlformats.org/officeDocument/2006/relationships/hyperlink" Target="https://meteor-uat.aihw.gov.au/content/270696" TargetMode="External" Id="R29d40396ecd8455e" /><Relationship Type="http://schemas.openxmlformats.org/officeDocument/2006/relationships/hyperlink" Target="http://www.health.gov.au/haf/docs/visthlth/2000hlth.htm#rhca" TargetMode="External" Id="R0cce0152a5b54c0a" /><Relationship Type="http://schemas.openxmlformats.org/officeDocument/2006/relationships/hyperlink" Target="https://meteor-uat.aihw.gov.au/content/339080" TargetMode="External" Id="R5ae39c6a9b0140c4" /><Relationship Type="http://schemas.openxmlformats.org/officeDocument/2006/relationships/hyperlink" Target="https://meteor-uat.aihw.gov.au/RegistrationAuthority/14" TargetMode="External" Id="R895218fb8a9a4944" /><Relationship Type="http://schemas.openxmlformats.org/officeDocument/2006/relationships/hyperlink" Target="https://meteor-uat.aihw.gov.au/content/273608" TargetMode="External" Id="R0ed8b6ec9f314e43" /><Relationship Type="http://schemas.openxmlformats.org/officeDocument/2006/relationships/hyperlink" Target="https://meteor-uat.aihw.gov.au/content/273050" TargetMode="External" Id="R0e43324138ed4f6a" /><Relationship Type="http://schemas.openxmlformats.org/officeDocument/2006/relationships/hyperlink" Target="https://meteor-uat.aihw.gov.au/RegistrationAuthority/14" TargetMode="External" Id="R945f0394dbcb4a54" /><Relationship Type="http://schemas.openxmlformats.org/officeDocument/2006/relationships/hyperlink" Target="https://meteor-uat.aihw.gov.au/content/334023" TargetMode="External" Id="R7f01ea2c72954536" /><Relationship Type="http://schemas.openxmlformats.org/officeDocument/2006/relationships/hyperlink" Target="https://meteor-uat.aihw.gov.au/RegistrationAuthority/14" TargetMode="External" Id="R31301cdbf7cb4f13" /><Relationship Type="http://schemas.openxmlformats.org/officeDocument/2006/relationships/hyperlink" Target="https://meteor-uat.aihw.gov.au/content/273046" TargetMode="External" Id="Rc8c2f35a3a9e43fe" /><Relationship Type="http://schemas.openxmlformats.org/officeDocument/2006/relationships/hyperlink" Target="https://meteor-uat.aihw.gov.au/RegistrationAuthority/14" TargetMode="External" Id="R326a255139394853" /><Relationship Type="http://schemas.openxmlformats.org/officeDocument/2006/relationships/hyperlink" Target="https://meteor-uat.aihw.gov.au/content/334050" TargetMode="External" Id="R25ca14d214fc4d50" /><Relationship Type="http://schemas.openxmlformats.org/officeDocument/2006/relationships/hyperlink" Target="https://meteor-uat.aihw.gov.au/RegistrationAuthority/14" TargetMode="External" Id="Rf1bc6cc0d19142ee" /></Relationships>
</file>

<file path=word/_rels/header1.xml.rels>&#65279;<?xml version="1.0" encoding="utf-8"?><Relationships xmlns="http://schemas.openxmlformats.org/package/2006/relationships"><Relationship Type="http://schemas.openxmlformats.org/officeDocument/2006/relationships/image" Target="/media/image.png" Id="Ra465d48641234751" /></Relationships>
</file>