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563112be5d4276" /></Relationships>
</file>

<file path=word/document.xml><?xml version="1.0" encoding="utf-8"?>
<w:document xmlns:r="http://schemas.openxmlformats.org/officeDocument/2006/relationships" xmlns:w="http://schemas.openxmlformats.org/wordprocessingml/2006/main">
  <w:body>
    <w:p>
      <w:pPr>
        <w:pStyle w:val="Title"/>
      </w:pPr>
      <w:r>
        <w:t>Adult—body mass index (self-reported), ratio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Adult—body mass index (self-reported), 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index—adult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d6db00f1044381">
              <w:r>
                <w:rPr>
                  <w:rStyle w:val="Hyperlink"/>
                  <w:color w:val="244061"/>
                </w:rPr>
                <w:t xml:space="preserve">Health!</w:t>
              </w:r>
            </w:hyperlink>
            <w:r>
              <w:rPr>
                <w:rStyle w:val="row-content"/>
                <w:color w:val="244061"/>
              </w:rPr>
              <w:t xml:space="preserve">, Standard 01/03/2005</w:t>
            </w:r>
          </w:p>
          <w:p>
            <w:pPr>
              <w:spacing w:before="0" w:after="0"/>
            </w:pPr>
            <w:hyperlink w:history="true" r:id="R0216bf2041de427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an adult's weight (body mass) relative to height used to assess the extent of weight deficit or excess where at least one of the measures is self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14d874e3d54e86">
              <w:r>
                <w:rPr>
                  <w:rStyle w:val="Hyperlink"/>
                </w:rPr>
                <w:t xml:space="preserve">Adult—body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bfb5e343f44e27">
              <w:r>
                <w:rPr>
                  <w:rStyle w:val="Hyperlink"/>
                </w:rPr>
                <w:t xml:space="preserve">Ratio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 for BMI calculated from either self-reported height and/or self-reported weight.</w:t>
            </w:r>
          </w:p>
          <w:p>
            <w:pPr>
              <w:spacing w:after="160"/>
            </w:pPr>
            <w:r>
              <w:rPr>
                <w:rStyle w:val="row-content-rich-text"/>
              </w:rPr>
              <w:t xml:space="preserve">BMI calculated from measured height and weight should be distinguished from BMI calculated from self-reported height and/or weight. When either self-reported height or self-reported weight is used in the calculation, BMI should be recorded as self-reported BMI. Self-reported or parentally reported height and weight for children and adolescents should be used cautiously if at all.</w:t>
            </w:r>
          </w:p>
          <w:p>
            <w:pPr/>
            <w:r>
              <w:rPr>
                <w:rStyle w:val="row-content-rich-text"/>
              </w:rPr>
              <w:t xml:space="preserve">BMI should be derived after the data entry of weight and height.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United States Centers for Disease Control 2000 BMI- for-age chart be used for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is relatively easy to determine, and has been validated against more direct measures of adiposity such as Magnetic Resonance Imaging and Dual X-ray Absorptiometry.</w:t>
            </w:r>
          </w:p>
          <w:p>
            <w:pPr>
              <w:spacing w:after="160"/>
            </w:pPr>
            <w:r>
              <w:rPr>
                <w:rStyle w:val="row-content-rich-text"/>
              </w:rPr>
              <w:t xml:space="preserve">BMI is a low cost technique, with low respondent and investigator burden. In addition, it offers low inter-observer and intra-observer error, therefore offering good reliability.</w:t>
            </w:r>
          </w:p>
          <w:p>
            <w:pPr>
              <w:spacing w:after="160"/>
            </w:pPr>
            <w:r>
              <w:rPr>
                <w:rStyle w:val="row-content-rich-text"/>
              </w:rPr>
              <w:t xml:space="preserve">Overweight and obesity, as defined by the World Health Organisation (WHO) for the interpretation of BMI (WHO 2000), are exceedingly common in Australia and their prevalence is increasing.</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Body mass index can be calculated from measured height and weight, or self-reported height and weight, however for children and adolescents, self-reported or parentally reported data should be used cautiously if at all.</w:t>
            </w:r>
          </w:p>
          <w:p>
            <w:pPr>
              <w:spacing w:after="160"/>
            </w:pPr>
            <w:r>
              <w:rPr>
                <w:rStyle w:val="row-content-rich-text"/>
              </w:rPr>
              <w:t xml:space="preserve">For adults, body mass index tends to be underestimated when based on self-reported, rather than measured, height and weight. This is due to the fact that, on average, height tends to be overestimated and weight tends to be underestimated when self-reported by respondents.</w:t>
            </w:r>
          </w:p>
          <w:p>
            <w:pPr>
              <w:spacing w:after="160"/>
            </w:pPr>
            <w:r>
              <w:rPr>
                <w:rStyle w:val="row-content-rich-text"/>
              </w:rPr>
              <w:t xml:space="preserve">There are many individuals for whom BMI is an inappropriate measure of body fatness. These are individuals whose high body mass is due to excess muscle rather than fat (e.g. body builders or others in whom the level of physical activity promotes an increase in muscle mass); or in those with osteoporosis who will have a lower than usual BMI; or those who have a different body build (e.g. individuals with unusually long or short legs or a different body fat distribution) (WHO Expert Committee 1995).</w:t>
            </w:r>
          </w:p>
          <w:p>
            <w:pPr>
              <w:spacing w:after="160"/>
            </w:pPr>
            <w:r>
              <w:rPr>
                <w:rStyle w:val="row-content-rich-text"/>
              </w:rPr>
              <w:t xml:space="preserve">This is particularly important when assessing individuals but should also be taken into account in interpreting data from populations in which there are sub-groups with genetic or environmental differences in body build, composition, skeletal proportions or body fat distribution. As such, both BMI and a measure of fat distribution (waist circumference or waist: hip ratio) are important in calculating the risk of obesity comorbidities.</w:t>
            </w:r>
          </w:p>
          <w:p>
            <w:pPr>
              <w:spacing w:after="160"/>
            </w:pPr>
            <w:r>
              <w:rPr>
                <w:rStyle w:val="row-content-rich-text"/>
              </w:rPr>
              <w:t xml:space="preserve">Epidemiological research shows that there is a strong association between BMI and health risk. Excess adipose tissue in adults is associated with excess morbidity and mortality from conditions such as hypertension, unfavourable blood lipid concentrations, diabetes mellitus, coronary heart disease, some cancers, gall bladder disease, and osteoarthritis. It may also lead to social and economic disadvantage as well as psychosocial problems. It is a major public health issue in most industrialised societies.</w:t>
            </w:r>
          </w:p>
          <w:p>
            <w:pPr/>
            <w:r>
              <w:rPr>
                <w:rStyle w:val="row-content-rich-text"/>
              </w:rPr>
              <w:t xml:space="preserve">Thinness (low BMI) is also an indicator of health risk, often being associated with general illness, anorexia, cigarette smoking, drug addiction and alcoholism. Low BMI is consistently associated with increased risk of osteoporosis and fractures in the elderly.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Commonwealth Department of Health and Ageing based on the work of the consortium to develop an Australian standard definition of child/adolescent overweight and obesity; based at the Children Hospital at Westmead.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Preventing and Managing the Global Epidemic. Report of a WHO Consultation. 2000.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853177e74f8149dd">
              <w:r>
                <w:rPr>
                  <w:rStyle w:val="Hyperlink"/>
                </w:rPr>
                <w:t xml:space="preserve">Person—height (measured), total centimetres NN[N].N</w:t>
              </w:r>
            </w:hyperlink>
          </w:p>
          <w:p>
            <w:pPr>
              <w:pStyle w:val="registration-status"/>
              <w:spacing w:before="0" w:after="0"/>
            </w:pPr>
            <w:hyperlink w:history="true" r:id="Rfaddc088be494732">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cc7f1d6e65040d8">
              <w:r>
                <w:rPr>
                  <w:rStyle w:val="Hyperlink"/>
                </w:rPr>
                <w:t xml:space="preserve">Person—height (self-reported), total centimetres NN[N]</w:t>
              </w:r>
            </w:hyperlink>
          </w:p>
          <w:p>
            <w:pPr>
              <w:pStyle w:val="registration-status"/>
              <w:spacing w:before="0" w:after="0"/>
            </w:pPr>
            <w:hyperlink w:history="true" r:id="R8fc33c52ecb6427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3155b13d820497b">
              <w:r>
                <w:rPr>
                  <w:rStyle w:val="Hyperlink"/>
                  <w:color w:val="244061"/>
                </w:rPr>
                <w:t xml:space="preserve">Tasmanian Health</w:t>
              </w:r>
            </w:hyperlink>
            <w:r>
              <w:rPr>
                <w:rStyle w:val="row-content"/>
                <w:color w:val="244061"/>
              </w:rPr>
              <w:t xml:space="preserve">, Standard 20/12/2016</w:t>
            </w:r>
          </w:p>
          <w:p>
            <w:r>
              <w:br/>
            </w:r>
            <w:r>
              <w:rPr>
                <w:rStyle w:val="row-content"/>
              </w:rPr>
              <w:t xml:space="preserve">Is formed using </w:t>
            </w:r>
            <w:hyperlink w:history="true" r:id="R2062b5a2f4f3481a">
              <w:r>
                <w:rPr>
                  <w:rStyle w:val="Hyperlink"/>
                </w:rPr>
                <w:t xml:space="preserve">Person—weight (measured), total kilograms N[NN].N</w:t>
              </w:r>
            </w:hyperlink>
          </w:p>
          <w:p>
            <w:pPr>
              <w:pStyle w:val="registration-status"/>
              <w:spacing w:before="0" w:after="0"/>
            </w:pPr>
            <w:hyperlink w:history="true" r:id="R6870e418dfec40e8">
              <w:r>
                <w:rPr>
                  <w:rStyle w:val="Hyperlink"/>
                  <w:color w:val="244061"/>
                </w:rPr>
                <w:t xml:space="preserve">Health!</w:t>
              </w:r>
            </w:hyperlink>
            <w:r>
              <w:rPr>
                <w:rStyle w:val="row-content"/>
                <w:color w:val="244061"/>
              </w:rPr>
              <w:t xml:space="preserve">, Superseded 12/12/2018</w:t>
            </w:r>
          </w:p>
          <w:p>
            <w:r>
              <w:br/>
            </w:r>
            <w:r>
              <w:rPr>
                <w:rStyle w:val="row-content"/>
              </w:rPr>
              <w:t xml:space="preserve">Is formed using </w:t>
            </w:r>
            <w:hyperlink w:history="true" r:id="R6447114fb1314a7b">
              <w:r>
                <w:rPr>
                  <w:rStyle w:val="Hyperlink"/>
                </w:rPr>
                <w:t xml:space="preserve">Person—weight (self-reported), total kilograms NN[N]</w:t>
              </w:r>
            </w:hyperlink>
          </w:p>
          <w:p>
            <w:pPr>
              <w:pStyle w:val="registration-status"/>
              <w:spacing w:before="0" w:after="0"/>
            </w:pPr>
            <w:hyperlink w:history="true" r:id="Re9572a78d1c44b7f">
              <w:r>
                <w:rPr>
                  <w:rStyle w:val="Hyperlink"/>
                  <w:color w:val="244061"/>
                </w:rPr>
                <w:t xml:space="preserve">Health!</w:t>
              </w:r>
            </w:hyperlink>
            <w:r>
              <w:rPr>
                <w:rStyle w:val="row-content"/>
                <w:color w:val="244061"/>
              </w:rPr>
              <w:t xml:space="preserve">, Standard 14/07/2005</w:t>
            </w:r>
          </w:p>
          <w:p>
            <w:pPr>
              <w:pStyle w:val="registration-status"/>
              <w:spacing w:before="0" w:after="0"/>
            </w:pPr>
            <w:hyperlink w:history="true" r:id="R65e6e274c10247ee">
              <w:r>
                <w:rPr>
                  <w:rStyle w:val="Hyperlink"/>
                  <w:color w:val="244061"/>
                </w:rPr>
                <w:t xml:space="preserve">Tasmanian Health</w:t>
              </w:r>
            </w:hyperlink>
            <w:r>
              <w:rPr>
                <w:rStyle w:val="row-content"/>
                <w:color w:val="244061"/>
              </w:rPr>
              <w:t xml:space="preserve">, Standard 20/12/2016</w:t>
            </w:r>
          </w:p>
          <w:p>
            <w:r>
              <w:br/>
            </w:r>
            <w:r>
              <w:rPr>
                <w:rStyle w:val="row-content"/>
              </w:rPr>
              <w:t xml:space="preserve">Is re-engineered from </w:t>
            </w:r>
            <w:hyperlink w:history="true" r:id="Rd0521a04ae3a4ac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0521a04ae3a4ac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7eb866ce814174"/>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version 2, Derived DE, NHDD, NHIMG, Superseded 01/03/2005.pdf</w:t>
              </w:r>
            </w:hyperlink>
          </w:p>
          <w:p>
            <w:r>
              <w:rPr>
                <w:rStyle w:val="row-content"/>
              </w:rPr>
              <w:t xml:space="preserve"> (25.7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fccca973ca1342ee">
              <w:r>
                <w:rPr>
                  <w:rStyle w:val="Hyperlink"/>
                </w:rPr>
                <w:t xml:space="preserve">Person—body mass index (classification), code N[.N]</w:t>
              </w:r>
            </w:hyperlink>
          </w:p>
          <w:p>
            <w:pPr>
              <w:pStyle w:val="registration-status"/>
              <w:spacing w:before="0" w:after="0"/>
            </w:pPr>
            <w:hyperlink w:history="true" r:id="R6dcafa76f5ac491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a51e7b8d07e4fb5">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f342af3a424469c">
              <w:r>
                <w:rPr>
                  <w:rStyle w:val="Hyperlink"/>
                </w:rPr>
                <w:t xml:space="preserve">National Health Performance Authority, Healthy Communities: Percentage of adults who are overweight or obese, 2011–12</w:t>
              </w:r>
            </w:hyperlink>
          </w:p>
          <w:p>
            <w:pPr>
              <w:pStyle w:val="registration-status"/>
              <w:spacing w:before="0" w:after="0"/>
            </w:pPr>
            <w:hyperlink w:history="true" r:id="R7336ae1a81904d71">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7211b2d60930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e24393df0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1b2d60930407c" /><Relationship Type="http://schemas.openxmlformats.org/officeDocument/2006/relationships/header" Target="/word/header1.xml" Id="R471cf878d0c5426d" /><Relationship Type="http://schemas.openxmlformats.org/officeDocument/2006/relationships/settings" Target="/word/settings.xml" Id="R56dee56c53454344" /><Relationship Type="http://schemas.openxmlformats.org/officeDocument/2006/relationships/styles" Target="/word/styles.xml" Id="Rd49052cee7754ef3" /><Relationship Type="http://schemas.openxmlformats.org/officeDocument/2006/relationships/image" Target="/media/image.gif" Id="R4b7eb866ce814174" /><Relationship Type="http://schemas.openxmlformats.org/officeDocument/2006/relationships/hyperlink" Target="https://meteor-uat.aihw.gov.au/RegistrationAuthority/14" TargetMode="External" Id="R47d6db00f1044381" /><Relationship Type="http://schemas.openxmlformats.org/officeDocument/2006/relationships/hyperlink" Target="https://meteor-uat.aihw.gov.au/RegistrationAuthority/10" TargetMode="External" Id="R0216bf2041de4272" /><Relationship Type="http://schemas.openxmlformats.org/officeDocument/2006/relationships/hyperlink" Target="https://meteor-uat.aihw.gov.au/content/269556" TargetMode="External" Id="R1414d874e3d54e86" /><Relationship Type="http://schemas.openxmlformats.org/officeDocument/2006/relationships/hyperlink" Target="https://meteor-uat.aihw.gov.au/content/270681" TargetMode="External" Id="R7fbfb5e343f44e27" /><Relationship Type="http://schemas.openxmlformats.org/officeDocument/2006/relationships/hyperlink" Target="https://meteor-uat.aihw.gov.au/content/270361" TargetMode="External" Id="R853177e74f8149dd" /><Relationship Type="http://schemas.openxmlformats.org/officeDocument/2006/relationships/hyperlink" Target="https://meteor-uat.aihw.gov.au/RegistrationAuthority/14" TargetMode="External" Id="Rfaddc088be494732" /><Relationship Type="http://schemas.openxmlformats.org/officeDocument/2006/relationships/hyperlink" Target="https://meteor-uat.aihw.gov.au/content/270365" TargetMode="External" Id="R2cc7f1d6e65040d8" /><Relationship Type="http://schemas.openxmlformats.org/officeDocument/2006/relationships/hyperlink" Target="https://meteor-uat.aihw.gov.au/RegistrationAuthority/14" TargetMode="External" Id="R8fc33c52ecb6427b" /><Relationship Type="http://schemas.openxmlformats.org/officeDocument/2006/relationships/hyperlink" Target="https://meteor-uat.aihw.gov.au/RegistrationAuthority/17" TargetMode="External" Id="R63155b13d820497b" /><Relationship Type="http://schemas.openxmlformats.org/officeDocument/2006/relationships/hyperlink" Target="https://meteor-uat.aihw.gov.au/content/270208" TargetMode="External" Id="R2062b5a2f4f3481a" /><Relationship Type="http://schemas.openxmlformats.org/officeDocument/2006/relationships/hyperlink" Target="https://meteor-uat.aihw.gov.au/RegistrationAuthority/14" TargetMode="External" Id="R6870e418dfec40e8" /><Relationship Type="http://schemas.openxmlformats.org/officeDocument/2006/relationships/hyperlink" Target="https://meteor-uat.aihw.gov.au/content/302365" TargetMode="External" Id="R6447114fb1314a7b" /><Relationship Type="http://schemas.openxmlformats.org/officeDocument/2006/relationships/hyperlink" Target="https://meteor-uat.aihw.gov.au/RegistrationAuthority/14" TargetMode="External" Id="Re9572a78d1c44b7f" /><Relationship Type="http://schemas.openxmlformats.org/officeDocument/2006/relationships/hyperlink" Target="https://meteor-uat.aihw.gov.au/RegistrationAuthority/17" TargetMode="External" Id="R65e6e274c10247ee" /><Relationship Type="http://schemas.openxmlformats.org/officeDocument/2006/relationships/hyperlink" Target="https://meteor-uat.aihw.gov.au/content/273838" TargetMode="External" Id="Rd0521a04ae3a4ac9" /><Relationship Type="http://schemas.openxmlformats.org/officeDocument/2006/relationships/hyperlink" Target="https://meteor-uat.aihw.gov.au/content/270474" TargetMode="External" Id="Rfccca973ca1342ee" /><Relationship Type="http://schemas.openxmlformats.org/officeDocument/2006/relationships/hyperlink" Target="https://meteor-uat.aihw.gov.au/RegistrationAuthority/14" TargetMode="External" Id="R6dcafa76f5ac491d" /><Relationship Type="http://schemas.openxmlformats.org/officeDocument/2006/relationships/hyperlink" Target="https://meteor-uat.aihw.gov.au/RegistrationAuthority/9" TargetMode="External" Id="Rca51e7b8d07e4fb5" /><Relationship Type="http://schemas.openxmlformats.org/officeDocument/2006/relationships/hyperlink" Target="https://meteor-uat.aihw.gov.au/content/527650" TargetMode="External" Id="R7f342af3a424469c" /><Relationship Type="http://schemas.openxmlformats.org/officeDocument/2006/relationships/hyperlink" Target="https://meteor-uat.aihw.gov.au/RegistrationAuthority/10" TargetMode="External" Id="R7336ae1a81904d71" /></Relationships>
</file>

<file path=word/_rels/header1.xml.rels>&#65279;<?xml version="1.0" encoding="utf-8"?><Relationships xmlns="http://schemas.openxmlformats.org/package/2006/relationships"><Relationship Type="http://schemas.openxmlformats.org/officeDocument/2006/relationships/image" Target="/media/image.png" Id="R6cee24393df049ab" /></Relationships>
</file>